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3.xml" ContentType="application/vnd.openxmlformats-officedocument.drawingml.chart+xml"/>
  <Override PartName="/word/charts/style4.xml" ContentType="application/vnd.ms-office.chartstyle+xml"/>
  <Override PartName="/word/charts/colors4.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charts/chart14.xml" ContentType="application/vnd.openxmlformats-officedocument.drawingml.chart+xml"/>
  <Override PartName="/word/charts/chart15.xml" ContentType="application/vnd.openxmlformats-officedocument.drawingml.chart+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charts/chart16.xml" ContentType="application/vnd.openxmlformats-officedocument.drawingml.chart+xml"/>
  <Override PartName="/word/charts/chart17.xml" ContentType="application/vnd.openxmlformats-officedocument.drawingml.chart+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charts/chart18.xml" ContentType="application/vnd.openxmlformats-officedocument.drawingml.chart+xml"/>
  <Override PartName="/word/footer21.xml" ContentType="application/vnd.openxmlformats-officedocument.wordprocessingml.footer+xml"/>
  <Override PartName="/word/footer22.xml" ContentType="application/vnd.openxmlformats-officedocument.wordprocessingml.footer+xml"/>
  <Override PartName="/word/charts/chart19.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77FBB" w14:textId="404501AA" w:rsidR="001A4C18" w:rsidRDefault="00467AA7" w:rsidP="001A4C18">
      <w:r>
        <w:rPr>
          <w:noProof/>
        </w:rPr>
        <w:drawing>
          <wp:anchor distT="0" distB="0" distL="114300" distR="114300" simplePos="0" relativeHeight="251661312" behindDoc="0" locked="0" layoutInCell="1" allowOverlap="1" wp14:anchorId="72D972E0" wp14:editId="24891C01">
            <wp:simplePos x="0" y="0"/>
            <wp:positionH relativeFrom="page">
              <wp:align>left</wp:align>
            </wp:positionH>
            <wp:positionV relativeFrom="paragraph">
              <wp:posOffset>-612698</wp:posOffset>
            </wp:positionV>
            <wp:extent cx="7545444" cy="10675088"/>
            <wp:effectExtent l="0" t="0" r="0" b="0"/>
            <wp:wrapNone/>
            <wp:docPr id="298627840" name="Picture 1" descr="A mountain with snow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27840" name="Picture 1" descr="A mountain with snow on i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156" cy="106902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A4C18">
        <w:rPr>
          <w:noProof/>
          <w:lang w:eastAsia="et-EE"/>
        </w:rPr>
        <w:t xml:space="preserve"> </w:t>
      </w:r>
    </w:p>
    <w:p w14:paraId="25CBFF7A" w14:textId="28ACE297" w:rsidR="001A4C18" w:rsidRDefault="001A4C18" w:rsidP="001A4C18">
      <w:bookmarkStart w:id="0" w:name="_Hlk99102401"/>
      <w:bookmarkEnd w:id="0"/>
    </w:p>
    <w:p w14:paraId="589225A4" w14:textId="0004AEB6" w:rsidR="009A4FF0" w:rsidRPr="005822EA" w:rsidRDefault="009A4FF0" w:rsidP="00E66452">
      <w:pPr>
        <w:pStyle w:val="TOC9"/>
        <w:jc w:val="both"/>
        <w:sectPr w:rsidR="009A4FF0" w:rsidRPr="005822EA" w:rsidSect="0093189D">
          <w:footerReference w:type="default" r:id="rId12"/>
          <w:footerReference w:type="first" r:id="rId13"/>
          <w:endnotePr>
            <w:numFmt w:val="decimal"/>
          </w:endnotePr>
          <w:pgSz w:w="11906" w:h="16838"/>
          <w:pgMar w:top="964" w:right="964" w:bottom="964" w:left="964" w:header="567" w:footer="567" w:gutter="0"/>
          <w:cols w:space="708"/>
          <w:titlePg/>
          <w:docGrid w:linePitch="360"/>
        </w:sectPr>
      </w:pPr>
    </w:p>
    <w:p w14:paraId="6022D651" w14:textId="77777777" w:rsidR="00522497" w:rsidRPr="005822EA" w:rsidRDefault="00522497" w:rsidP="00E66452"/>
    <w:p w14:paraId="3384C42F" w14:textId="77777777" w:rsidR="00522497" w:rsidRPr="005822EA" w:rsidRDefault="00522497" w:rsidP="00E66452">
      <w:pPr>
        <w:sectPr w:rsidR="00522497" w:rsidRPr="005822EA" w:rsidSect="0093189D">
          <w:endnotePr>
            <w:numFmt w:val="decimal"/>
          </w:endnotePr>
          <w:pgSz w:w="11906" w:h="16838"/>
          <w:pgMar w:top="964" w:right="964" w:bottom="964" w:left="964" w:header="567" w:footer="567" w:gutter="0"/>
          <w:cols w:space="708"/>
          <w:titlePg/>
          <w:docGrid w:linePitch="360"/>
        </w:sectPr>
      </w:pPr>
    </w:p>
    <w:p w14:paraId="076701FD" w14:textId="77777777" w:rsidR="001F6552" w:rsidRPr="00A840A2" w:rsidRDefault="001F6552" w:rsidP="00E66452">
      <w:pPr>
        <w:pStyle w:val="Numbritapealkiri"/>
      </w:pPr>
      <w:bookmarkStart w:id="1" w:name="_Toc64844916"/>
      <w:bookmarkStart w:id="2" w:name="_Toc64847868"/>
      <w:bookmarkStart w:id="3" w:name="_Toc64848901"/>
      <w:bookmarkStart w:id="4" w:name="_Toc143775488"/>
      <w:r w:rsidRPr="00A840A2">
        <w:t>EESSÕNA</w:t>
      </w:r>
      <w:bookmarkEnd w:id="1"/>
      <w:bookmarkEnd w:id="2"/>
      <w:bookmarkEnd w:id="3"/>
      <w:bookmarkEnd w:id="4"/>
    </w:p>
    <w:p w14:paraId="1A680FD5" w14:textId="0F3E7EB7" w:rsidR="0047036A" w:rsidRPr="00DE164D" w:rsidRDefault="0047036A" w:rsidP="0047036A">
      <w:pPr>
        <w:pStyle w:val="Phitekst"/>
      </w:pPr>
      <w:r w:rsidRPr="00DE164D">
        <w:t xml:space="preserve">Käesoleva majandus- ja rahandusprognoosi eesmärk on anda ajakohane ja võimalikult täpne </w:t>
      </w:r>
      <w:r w:rsidR="00DE164D" w:rsidRPr="00DE164D">
        <w:t>alus Riigikogule ja valitsusele järgmise aasta riigieelarve eelnõu ning järgmise nelja aasta riigi eelarvestrateegia koostamiseks. Samuti on see aluseks seadusemuudatuste mõju</w:t>
      </w:r>
      <w:r w:rsidR="00DE164D" w:rsidRPr="00DE164D">
        <w:softHyphen/>
        <w:t>hinnangutele. Prognoos on mõeldud ka laiemaks avalikuks kasutamiseks, pakkudes analüüsi majanduses ning riigi rahanduses toimuvast ja ühe tõenäolise tulevikustsenaariumi.</w:t>
      </w:r>
    </w:p>
    <w:p w14:paraId="25341048" w14:textId="24963255" w:rsidR="0047036A" w:rsidRPr="00DE164D" w:rsidRDefault="0047036A" w:rsidP="0047036A">
      <w:pPr>
        <w:pStyle w:val="Phitekst"/>
      </w:pPr>
      <w:r w:rsidRPr="00DE164D">
        <w:t>Prognoosi koostamist reguleerib Riigieelarve seadus. Prognoosi aluseks on viimane avaldatud majandus- ja rahandusstatistika ning see on koostatud jooksva ning järgneva nelja aasta kohta. Vastavalt seadusele ollakse selle koostamisel ning metoodilistes valikutes sõltumatud. Metoodilised valikud on tehtud parima teadmise juu</w:t>
      </w:r>
      <w:r w:rsidRPr="00DE164D">
        <w:softHyphen/>
        <w:t>res ning läbipaistvalt. Prognoos sisaldab võrdlust teiste prognoosidega ning metoodika kirjeldust. Käesoleva prog</w:t>
      </w:r>
      <w:r w:rsidRPr="00DE164D">
        <w:softHyphen/>
        <w:t>noosi eeldused on fikseeritud 202</w:t>
      </w:r>
      <w:r w:rsidR="00562CB1" w:rsidRPr="00DE164D">
        <w:t>3</w:t>
      </w:r>
      <w:r w:rsidRPr="00DE164D">
        <w:t xml:space="preserve">. aasta </w:t>
      </w:r>
      <w:r w:rsidR="00DE164D" w:rsidRPr="00DE164D">
        <w:t>augusti</w:t>
      </w:r>
      <w:r w:rsidR="00562CB1" w:rsidRPr="00DE164D">
        <w:t xml:space="preserve"> </w:t>
      </w:r>
      <w:r w:rsidRPr="00DE164D">
        <w:t>keskpaiga seisuga.</w:t>
      </w:r>
    </w:p>
    <w:p w14:paraId="01CB129A" w14:textId="328C1395" w:rsidR="00A840A2" w:rsidRPr="00141857" w:rsidRDefault="0047036A" w:rsidP="00A840A2">
      <w:pPr>
        <w:pStyle w:val="Phitekst"/>
      </w:pPr>
      <w:r w:rsidRPr="00DE164D">
        <w:t>Vastavalt Riigieelarve seaduse paragrahvile 4 hindab Eelarvenõukogu riigi makromajandusprognoose ja rahandus</w:t>
      </w:r>
      <w:r w:rsidRPr="00DE164D">
        <w:softHyphen/>
        <w:t>prognoose. Eelarvenõukogu annab arvamuse prognoosi kohta kahe nädala jooksul nende avaldamisest alates, hinnangud avalikustatakse nende kodulehel:</w:t>
      </w:r>
      <w:r w:rsidR="00B835C8" w:rsidRPr="00DE164D">
        <w:t xml:space="preserve"> </w:t>
      </w:r>
      <w:hyperlink r:id="rId14" w:history="1">
        <w:r w:rsidR="00B835C8" w:rsidRPr="00DE164D">
          <w:rPr>
            <w:rStyle w:val="Hyperlink"/>
          </w:rPr>
          <w:t>https://eelarvenoukogu.ee/</w:t>
        </w:r>
      </w:hyperlink>
      <w:r w:rsidR="00562CB1" w:rsidRPr="00DE164D">
        <w:t xml:space="preserve">. </w:t>
      </w:r>
      <w:r w:rsidR="00A840A2">
        <w:t xml:space="preserve">Kevadise prognoosi hinnangus leidis Eelarvenõukogu, et valitud eelduste juures kirjeldab rahandusministeeriumi kevadine majandusprognoos piisava usaldusväärsusega Eesti majanduse lähiaastate väljavaadet. Seetõttu kiitis Eelarvenõukogu rahandusministeeriumi 2023. aasta kevadise majandusprognoosi heaks, kuid tõi välja väga suure majandusliku ja geopoliitilise ebakindluse aspekti. Lisaks märkis Eelarvenõukogu, et kevadprognoos ei võtnud veel arvesse uue valitsuse koalitsioonilepet ega kavatsust eelarvepuudujääki vähendada, millel võib olla arvestatav mõju Eesti </w:t>
      </w:r>
      <w:r w:rsidR="00A840A2" w:rsidRPr="00141857">
        <w:t>majanduse. käekäigule.</w:t>
      </w:r>
    </w:p>
    <w:p w14:paraId="72175466" w14:textId="5A17CEF2" w:rsidR="00A840A2" w:rsidRPr="00414819" w:rsidRDefault="00A840A2" w:rsidP="00A840A2">
      <w:pPr>
        <w:pStyle w:val="Phitekst"/>
      </w:pPr>
      <w:r w:rsidRPr="00141857">
        <w:t xml:space="preserve">Käesolev prognoos arvestab nende koalitsioonilepingu meetmetega, mis on praeguseks seadustatud. </w:t>
      </w:r>
      <w:r w:rsidR="00D87705" w:rsidRPr="00141857">
        <w:t>Maksumuudatustest sisaldab prognoos tulumaksu, käibemaksu, aktsiiside ning hasartmängumaksu muudatuste mõju. Prognoosis ei ole arvestatud kõigi kokku lepitud meetmetega, näiteks on väljas automaksu kehtestamise mõju, mille eelnõu on ettevalmistavas faasis. Lisaks on prognoosist väljas planeeritud keskkonnatasude ja teekasutustasu tõusud. Kulude poolel on arvestatud</w:t>
      </w:r>
      <w:r w:rsidR="00141857" w:rsidRPr="00141857">
        <w:t xml:space="preserve"> nt</w:t>
      </w:r>
      <w:r w:rsidR="00D87705" w:rsidRPr="00141857">
        <w:t xml:space="preserve"> </w:t>
      </w:r>
      <w:r w:rsidR="00141857" w:rsidRPr="00141857">
        <w:t>kaitsekulude tõusuga 3%ni SKPst ning lastetoetuste vähendamisega</w:t>
      </w:r>
      <w:r w:rsidR="00CB1BCE">
        <w:t>,</w:t>
      </w:r>
      <w:r w:rsidR="00141857" w:rsidRPr="00141857">
        <w:t xml:space="preserve"> </w:t>
      </w:r>
      <w:r w:rsidR="00D87705" w:rsidRPr="00141857">
        <w:t xml:space="preserve">kuid lisanduda võivad veel mitmed kulud. Kavandatud meetmete jõustamine </w:t>
      </w:r>
      <w:r w:rsidR="00141857" w:rsidRPr="00141857">
        <w:t xml:space="preserve">ning </w:t>
      </w:r>
      <w:r w:rsidRPr="00141857">
        <w:t xml:space="preserve">eelarveprotsessi raames tehtavad otsused võivad </w:t>
      </w:r>
      <w:r w:rsidR="0022085F" w:rsidRPr="00141857">
        <w:t>oluliselt mõjutada prognoosis toodud ettevaadet</w:t>
      </w:r>
      <w:r w:rsidR="00141857" w:rsidRPr="00141857">
        <w:t>.</w:t>
      </w:r>
    </w:p>
    <w:p w14:paraId="68938604" w14:textId="0B2534AB" w:rsidR="007B2EB5" w:rsidRPr="00414819" w:rsidRDefault="007B2EB5" w:rsidP="0047036A">
      <w:pPr>
        <w:pStyle w:val="Phitekst"/>
        <w:rPr>
          <w:highlight w:val="yellow"/>
        </w:rPr>
      </w:pPr>
    </w:p>
    <w:p w14:paraId="3CE9E444" w14:textId="77777777" w:rsidR="009546D8" w:rsidRPr="00DE164D" w:rsidRDefault="009546D8" w:rsidP="006A5CB8">
      <w:pPr>
        <w:pStyle w:val="Phitekst"/>
      </w:pPr>
    </w:p>
    <w:p w14:paraId="73E6E7D5" w14:textId="77777777" w:rsidR="00B614AB" w:rsidRPr="00DE164D" w:rsidRDefault="009546D8" w:rsidP="00E66452">
      <w:pPr>
        <w:pStyle w:val="Rhutus1"/>
      </w:pPr>
      <w:r w:rsidRPr="00DE164D">
        <w:t>Fiskaalpoliitika osakond</w:t>
      </w:r>
    </w:p>
    <w:p w14:paraId="7C58BC21" w14:textId="3E608C74" w:rsidR="00B614AB" w:rsidRPr="00DE164D" w:rsidRDefault="00570FA9" w:rsidP="008C01F1">
      <w:pPr>
        <w:pStyle w:val="Mrkus"/>
        <w:tabs>
          <w:tab w:val="left" w:pos="6874"/>
        </w:tabs>
      </w:pPr>
      <w:r w:rsidRPr="00DE164D">
        <w:t xml:space="preserve"> </w:t>
      </w:r>
      <w:r w:rsidR="008C01F1" w:rsidRPr="00DE164D">
        <w:tab/>
      </w:r>
    </w:p>
    <w:p w14:paraId="7336319A" w14:textId="18F902A1" w:rsidR="00522497" w:rsidRPr="00DE164D" w:rsidRDefault="00E853F5" w:rsidP="008C01F1">
      <w:pPr>
        <w:pStyle w:val="Rhutus1"/>
        <w:tabs>
          <w:tab w:val="left" w:pos="6874"/>
        </w:tabs>
        <w:sectPr w:rsidR="00522497" w:rsidRPr="00DE164D" w:rsidSect="0093189D">
          <w:endnotePr>
            <w:numFmt w:val="decimal"/>
          </w:endnotePr>
          <w:type w:val="continuous"/>
          <w:pgSz w:w="11906" w:h="16838"/>
          <w:pgMar w:top="964" w:right="964" w:bottom="964" w:left="964" w:header="709" w:footer="709" w:gutter="0"/>
          <w:cols w:space="708"/>
          <w:docGrid w:linePitch="360"/>
        </w:sectPr>
      </w:pPr>
      <w:r w:rsidRPr="00DE164D">
        <w:rPr>
          <w:noProof/>
          <w:lang w:eastAsia="et-EE"/>
        </w:rPr>
        <mc:AlternateContent>
          <mc:Choice Requires="wps">
            <w:drawing>
              <wp:anchor distT="45720" distB="45720" distL="114300" distR="114300" simplePos="0" relativeHeight="251660288" behindDoc="0" locked="0" layoutInCell="1" allowOverlap="1" wp14:anchorId="4B586A1A" wp14:editId="23E68EB7">
                <wp:simplePos x="0" y="0"/>
                <wp:positionH relativeFrom="margin">
                  <wp:align>right</wp:align>
                </wp:positionH>
                <wp:positionV relativeFrom="margin">
                  <wp:posOffset>8547735</wp:posOffset>
                </wp:positionV>
                <wp:extent cx="6307455" cy="641985"/>
                <wp:effectExtent l="0" t="0" r="0" b="5715"/>
                <wp:wrapSquare wrapText="bothSides"/>
                <wp:docPr id="217"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7455" cy="641985"/>
                        </a:xfrm>
                        <a:prstGeom prst="rect">
                          <a:avLst/>
                        </a:prstGeom>
                        <a:solidFill>
                          <a:srgbClr val="FFFFFF"/>
                        </a:solidFill>
                        <a:ln w="9525">
                          <a:noFill/>
                          <a:miter lim="800000"/>
                          <a:headEnd/>
                          <a:tailEnd/>
                        </a:ln>
                      </wps:spPr>
                      <wps:txbx>
                        <w:txbxContent>
                          <w:p w14:paraId="6A57E3F3" w14:textId="6D80FF57" w:rsidR="001E36BC" w:rsidRPr="00467AA7" w:rsidRDefault="001E36BC" w:rsidP="006C4B58">
                            <w:pPr>
                              <w:pStyle w:val="Mrkus"/>
                              <w:spacing w:before="0" w:after="0"/>
                            </w:pPr>
                            <w:r w:rsidRPr="00467AA7">
                              <w:t>Kaanefoto:</w:t>
                            </w:r>
                          </w:p>
                          <w:p w14:paraId="51F0A230" w14:textId="4B70ADD5" w:rsidR="001E36BC" w:rsidRDefault="0028401A" w:rsidP="00467AA7">
                            <w:pPr>
                              <w:pStyle w:val="Mrkus"/>
                              <w:spacing w:before="0" w:after="0"/>
                            </w:pPr>
                            <w:hyperlink r:id="rId15" w:history="1">
                              <w:r w:rsidR="00467AA7" w:rsidRPr="00467AA7">
                                <w:rPr>
                                  <w:rStyle w:val="Hyperlink"/>
                                </w:rPr>
                                <w:t>https://unsplash.com/photos/xgFE3m3kayg</w:t>
                              </w:r>
                            </w:hyperlink>
                            <w:r w:rsidR="00467AA7">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586A1A" id="_x0000_t202" coordsize="21600,21600" o:spt="202" path="m,l,21600r21600,l21600,xe">
                <v:stroke joinstyle="miter"/>
                <v:path gradientshapeok="t" o:connecttype="rect"/>
              </v:shapetype>
              <v:shape id="Tekstiväli 2" o:spid="_x0000_s1026" type="#_x0000_t202" style="position:absolute;left:0;text-align:left;margin-left:445.45pt;margin-top:673.05pt;width:496.65pt;height:50.5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3kgDgIAAPYDAAAOAAAAZHJzL2Uyb0RvYy54bWysU9uO2yAQfa/Uf0C8N3bSOJtYcVbbbFNV&#10;2l6kbT8AY2yjYoYCiZ1+/Q7Ym03bt6o8IIYZzsycOWxvh06Rk7BOgi7ofJZSIjSHSuqmoN+/Hd6s&#10;KXGe6Yop0KKgZ+Ho7e71q21vcrGAFlQlLEEQ7fLeFLT13uRJ4ngrOuZmYIRGZw22Yx5N2ySVZT2i&#10;dypZpOkq6cFWxgIXzuHt/eiku4hf14L7L3XthCeqoFibj7uNexn2ZLdleWOZaSWfymD/UEXHpMak&#10;F6h75hk5WvkXVCe5BQe1n3HoEqhryUXsAbuZp39089gyI2IvSI4zF5rc/4Pln0+P5qslfngHAw4w&#10;NuHMA/AfjmjYt0w34s5a6FvBKkw8D5QlvXH59DRQ7XIXQMr+E1Q4ZHb0EIGG2naBFeyTIDoO4Hwh&#10;XQyecLxcvU1vlllGCUffajnfrLOYguXPr411/oOAjoRDQS0ONaKz04PzoRqWP4eEZA6UrA5SqWjY&#10;ptwrS04MBXCIa0L/LUxp0hd0ky2yiKwhvI/a6KRHgSrZFXSdhjVKJrDxXlcxxDOpxjNWovRET2Bk&#10;5MYP5YCBgaYSqjMSZWEUIn4cPLRgf1HSowgL6n4emRWUqI8ayd7Ml8ug2mgss5sFGvbaU157mOYI&#10;VVBPyXjc+6j0wIOGOxxKLSNfL5VMtaK4Io3TRwjqvbZj1Mt33T0BAAD//wMAUEsDBBQABgAIAAAA&#10;IQB/qHsN3gAAAAoBAAAPAAAAZHJzL2Rvd25yZXYueG1sTI9BT4NAEIXvJv6HzZh4MXZpQRBkadRE&#10;02trf8DAboHIzhJ2W+i/dzzpcd57efO9crvYQVzM5HtHCtarCIShxumeWgXHr4/HZxA+IGkcHBkF&#10;V+NhW93elFhoN9PeXA6hFVxCvkAFXQhjIaVvOmPRr9xoiL2TmywGPqdW6glnLreD3ERRKi32xB86&#10;HM17Z5rvw9kqOO3mh6d8rj/DMdsn6Rv2We2uSt3fLa8vIIJZwl8YfvEZHSpmqt2ZtBeDAh4SWI2T&#10;dA2C/TyPYxA1S0mSbUBWpfw/ofoBAAD//wMAUEsBAi0AFAAGAAgAAAAhALaDOJL+AAAA4QEAABMA&#10;AAAAAAAAAAAAAAAAAAAAAFtDb250ZW50X1R5cGVzXS54bWxQSwECLQAUAAYACAAAACEAOP0h/9YA&#10;AACUAQAACwAAAAAAAAAAAAAAAAAvAQAAX3JlbHMvLnJlbHNQSwECLQAUAAYACAAAACEA9tt5IA4C&#10;AAD2AwAADgAAAAAAAAAAAAAAAAAuAgAAZHJzL2Uyb0RvYy54bWxQSwECLQAUAAYACAAAACEAf6h7&#10;Dd4AAAAKAQAADwAAAAAAAAAAAAAAAABoBAAAZHJzL2Rvd25yZXYueG1sUEsFBgAAAAAEAAQA8wAA&#10;AHMFAAAAAA==&#10;" stroked="f">
                <v:textbox>
                  <w:txbxContent>
                    <w:p w14:paraId="6A57E3F3" w14:textId="6D80FF57" w:rsidR="001E36BC" w:rsidRPr="00467AA7" w:rsidRDefault="001E36BC" w:rsidP="006C4B58">
                      <w:pPr>
                        <w:pStyle w:val="Mrkus"/>
                        <w:spacing w:before="0" w:after="0"/>
                      </w:pPr>
                      <w:r w:rsidRPr="00467AA7">
                        <w:t>Kaanefoto:</w:t>
                      </w:r>
                    </w:p>
                    <w:p w14:paraId="51F0A230" w14:textId="4B70ADD5" w:rsidR="001E36BC" w:rsidRDefault="0028401A" w:rsidP="00467AA7">
                      <w:pPr>
                        <w:pStyle w:val="Mrkus"/>
                        <w:spacing w:before="0" w:after="0"/>
                      </w:pPr>
                      <w:hyperlink r:id="rId16" w:history="1">
                        <w:r w:rsidR="00467AA7" w:rsidRPr="00467AA7">
                          <w:rPr>
                            <w:rStyle w:val="Hyperlink"/>
                          </w:rPr>
                          <w:t>https://unsplash.com/photos/xgFE3m3kayg</w:t>
                        </w:r>
                      </w:hyperlink>
                      <w:r w:rsidR="00467AA7">
                        <w:t xml:space="preserve"> </w:t>
                      </w:r>
                    </w:p>
                  </w:txbxContent>
                </v:textbox>
                <w10:wrap type="square" anchorx="margin" anchory="margin"/>
              </v:shape>
            </w:pict>
          </mc:Fallback>
        </mc:AlternateContent>
      </w:r>
      <w:r w:rsidR="008C01F1" w:rsidRPr="00DE164D">
        <w:tab/>
      </w:r>
    </w:p>
    <w:p w14:paraId="0119C547" w14:textId="10BBF6C5" w:rsidR="009546D8" w:rsidRPr="00055987" w:rsidRDefault="009546D8" w:rsidP="00E66452">
      <w:pPr>
        <w:pStyle w:val="Numbritapealkiri"/>
      </w:pPr>
      <w:bookmarkStart w:id="5" w:name="_Toc64844917"/>
      <w:bookmarkStart w:id="6" w:name="_Toc64847869"/>
      <w:bookmarkStart w:id="7" w:name="_Toc64848902"/>
      <w:bookmarkStart w:id="8" w:name="_Toc143775489"/>
      <w:r w:rsidRPr="00055987">
        <w:lastRenderedPageBreak/>
        <w:t>SISUKORD</w:t>
      </w:r>
      <w:bookmarkEnd w:id="5"/>
      <w:bookmarkEnd w:id="6"/>
      <w:bookmarkEnd w:id="7"/>
      <w:bookmarkEnd w:id="8"/>
    </w:p>
    <w:sdt>
      <w:sdtPr>
        <w:rPr>
          <w:rFonts w:ascii="Roboto" w:hAnsi="Roboto" w:cstheme="minorBidi"/>
          <w:b w:val="0"/>
          <w:bCs w:val="0"/>
          <w:caps w:val="0"/>
          <w:szCs w:val="22"/>
          <w:highlight w:val="yellow"/>
        </w:rPr>
        <w:id w:val="982741637"/>
        <w:docPartObj>
          <w:docPartGallery w:val="Table of Contents"/>
          <w:docPartUnique/>
        </w:docPartObj>
      </w:sdtPr>
      <w:sdtEndPr>
        <w:rPr>
          <w:rFonts w:asciiTheme="minorHAnsi" w:hAnsiTheme="minorHAnsi"/>
        </w:rPr>
      </w:sdtEndPr>
      <w:sdtContent>
        <w:p w14:paraId="0563E908" w14:textId="6A0BD330" w:rsidR="001423CD" w:rsidRDefault="00CD7FAE">
          <w:pPr>
            <w:pStyle w:val="TOC1"/>
            <w:rPr>
              <w:rFonts w:asciiTheme="minorHAnsi" w:eastAsiaTheme="minorEastAsia" w:hAnsiTheme="minorHAnsi" w:cstheme="minorBidi"/>
              <w:b w:val="0"/>
              <w:bCs w:val="0"/>
              <w:caps w:val="0"/>
              <w:noProof/>
              <w:szCs w:val="22"/>
              <w:lang w:eastAsia="et-EE"/>
            </w:rPr>
          </w:pPr>
          <w:r w:rsidRPr="00414819">
            <w:rPr>
              <w:highlight w:val="yellow"/>
            </w:rPr>
            <w:fldChar w:fldCharType="begin"/>
          </w:r>
          <w:r w:rsidRPr="00414819">
            <w:rPr>
              <w:highlight w:val="yellow"/>
            </w:rPr>
            <w:instrText xml:space="preserve"> TOC \o "1-3" \h \z \u </w:instrText>
          </w:r>
          <w:r w:rsidRPr="00414819">
            <w:rPr>
              <w:highlight w:val="yellow"/>
            </w:rPr>
            <w:fldChar w:fldCharType="separate"/>
          </w:r>
          <w:hyperlink w:anchor="_Toc143775488" w:history="1">
            <w:r w:rsidR="001423CD" w:rsidRPr="00E91D3D">
              <w:rPr>
                <w:rStyle w:val="Hyperlink"/>
                <w:noProof/>
              </w:rPr>
              <w:t>EESSÕNA</w:t>
            </w:r>
            <w:r w:rsidR="001423CD">
              <w:rPr>
                <w:noProof/>
                <w:webHidden/>
              </w:rPr>
              <w:tab/>
            </w:r>
            <w:r w:rsidR="001423CD">
              <w:rPr>
                <w:noProof/>
                <w:webHidden/>
              </w:rPr>
              <w:fldChar w:fldCharType="begin"/>
            </w:r>
            <w:r w:rsidR="001423CD">
              <w:rPr>
                <w:noProof/>
                <w:webHidden/>
              </w:rPr>
              <w:instrText xml:space="preserve"> PAGEREF _Toc143775488 \h </w:instrText>
            </w:r>
            <w:r w:rsidR="001423CD">
              <w:rPr>
                <w:noProof/>
                <w:webHidden/>
              </w:rPr>
            </w:r>
            <w:r w:rsidR="001423CD">
              <w:rPr>
                <w:noProof/>
                <w:webHidden/>
              </w:rPr>
              <w:fldChar w:fldCharType="separate"/>
            </w:r>
            <w:r w:rsidR="001423CD">
              <w:rPr>
                <w:noProof/>
                <w:webHidden/>
              </w:rPr>
              <w:t>2</w:t>
            </w:r>
            <w:r w:rsidR="001423CD">
              <w:rPr>
                <w:noProof/>
                <w:webHidden/>
              </w:rPr>
              <w:fldChar w:fldCharType="end"/>
            </w:r>
          </w:hyperlink>
        </w:p>
        <w:p w14:paraId="64EF92A6" w14:textId="7D533193" w:rsidR="001423CD" w:rsidRDefault="001423CD">
          <w:pPr>
            <w:pStyle w:val="TOC1"/>
            <w:rPr>
              <w:rFonts w:asciiTheme="minorHAnsi" w:eastAsiaTheme="minorEastAsia" w:hAnsiTheme="minorHAnsi" w:cstheme="minorBidi"/>
              <w:b w:val="0"/>
              <w:bCs w:val="0"/>
              <w:caps w:val="0"/>
              <w:noProof/>
              <w:szCs w:val="22"/>
              <w:lang w:eastAsia="et-EE"/>
            </w:rPr>
          </w:pPr>
          <w:hyperlink w:anchor="_Toc143775489" w:history="1">
            <w:r w:rsidRPr="00E91D3D">
              <w:rPr>
                <w:rStyle w:val="Hyperlink"/>
                <w:noProof/>
              </w:rPr>
              <w:t>SISUKORD</w:t>
            </w:r>
            <w:r>
              <w:rPr>
                <w:noProof/>
                <w:webHidden/>
              </w:rPr>
              <w:tab/>
            </w:r>
            <w:r>
              <w:rPr>
                <w:noProof/>
                <w:webHidden/>
              </w:rPr>
              <w:fldChar w:fldCharType="begin"/>
            </w:r>
            <w:r>
              <w:rPr>
                <w:noProof/>
                <w:webHidden/>
              </w:rPr>
              <w:instrText xml:space="preserve"> PAGEREF _Toc143775489 \h </w:instrText>
            </w:r>
            <w:r>
              <w:rPr>
                <w:noProof/>
                <w:webHidden/>
              </w:rPr>
            </w:r>
            <w:r>
              <w:rPr>
                <w:noProof/>
                <w:webHidden/>
              </w:rPr>
              <w:fldChar w:fldCharType="separate"/>
            </w:r>
            <w:r>
              <w:rPr>
                <w:noProof/>
                <w:webHidden/>
              </w:rPr>
              <w:t>3</w:t>
            </w:r>
            <w:r>
              <w:rPr>
                <w:noProof/>
                <w:webHidden/>
              </w:rPr>
              <w:fldChar w:fldCharType="end"/>
            </w:r>
          </w:hyperlink>
        </w:p>
        <w:p w14:paraId="55D9D3BA" w14:textId="17F8243F" w:rsidR="001423CD" w:rsidRDefault="001423CD">
          <w:pPr>
            <w:pStyle w:val="TOC1"/>
            <w:rPr>
              <w:rFonts w:asciiTheme="minorHAnsi" w:eastAsiaTheme="minorEastAsia" w:hAnsiTheme="minorHAnsi" w:cstheme="minorBidi"/>
              <w:b w:val="0"/>
              <w:bCs w:val="0"/>
              <w:caps w:val="0"/>
              <w:noProof/>
              <w:szCs w:val="22"/>
              <w:lang w:eastAsia="et-EE"/>
            </w:rPr>
          </w:pPr>
          <w:hyperlink w:anchor="_Toc143775490" w:history="1">
            <w:r w:rsidRPr="00E91D3D">
              <w:rPr>
                <w:rStyle w:val="Hyperlink"/>
                <w:noProof/>
              </w:rPr>
              <w:t>JOONISED</w:t>
            </w:r>
            <w:r>
              <w:rPr>
                <w:noProof/>
                <w:webHidden/>
              </w:rPr>
              <w:tab/>
            </w:r>
            <w:r>
              <w:rPr>
                <w:noProof/>
                <w:webHidden/>
              </w:rPr>
              <w:fldChar w:fldCharType="begin"/>
            </w:r>
            <w:r>
              <w:rPr>
                <w:noProof/>
                <w:webHidden/>
              </w:rPr>
              <w:instrText xml:space="preserve"> PAGEREF _Toc143775490 \h </w:instrText>
            </w:r>
            <w:r>
              <w:rPr>
                <w:noProof/>
                <w:webHidden/>
              </w:rPr>
            </w:r>
            <w:r>
              <w:rPr>
                <w:noProof/>
                <w:webHidden/>
              </w:rPr>
              <w:fldChar w:fldCharType="separate"/>
            </w:r>
            <w:r>
              <w:rPr>
                <w:noProof/>
                <w:webHidden/>
              </w:rPr>
              <w:t>4</w:t>
            </w:r>
            <w:r>
              <w:rPr>
                <w:noProof/>
                <w:webHidden/>
              </w:rPr>
              <w:fldChar w:fldCharType="end"/>
            </w:r>
          </w:hyperlink>
        </w:p>
        <w:p w14:paraId="209C7637" w14:textId="3FB40F4A" w:rsidR="001423CD" w:rsidRDefault="001423CD">
          <w:pPr>
            <w:pStyle w:val="TOC1"/>
            <w:rPr>
              <w:rFonts w:asciiTheme="minorHAnsi" w:eastAsiaTheme="minorEastAsia" w:hAnsiTheme="minorHAnsi" w:cstheme="minorBidi"/>
              <w:b w:val="0"/>
              <w:bCs w:val="0"/>
              <w:caps w:val="0"/>
              <w:noProof/>
              <w:szCs w:val="22"/>
              <w:lang w:eastAsia="et-EE"/>
            </w:rPr>
          </w:pPr>
          <w:hyperlink w:anchor="_Toc143775491" w:history="1">
            <w:r w:rsidRPr="00E91D3D">
              <w:rPr>
                <w:rStyle w:val="Hyperlink"/>
                <w:noProof/>
              </w:rPr>
              <w:t>TABELID</w:t>
            </w:r>
            <w:r>
              <w:rPr>
                <w:noProof/>
                <w:webHidden/>
              </w:rPr>
              <w:tab/>
            </w:r>
            <w:r>
              <w:rPr>
                <w:noProof/>
                <w:webHidden/>
              </w:rPr>
              <w:fldChar w:fldCharType="begin"/>
            </w:r>
            <w:r>
              <w:rPr>
                <w:noProof/>
                <w:webHidden/>
              </w:rPr>
              <w:instrText xml:space="preserve"> PAGEREF _Toc143775491 \h </w:instrText>
            </w:r>
            <w:r>
              <w:rPr>
                <w:noProof/>
                <w:webHidden/>
              </w:rPr>
            </w:r>
            <w:r>
              <w:rPr>
                <w:noProof/>
                <w:webHidden/>
              </w:rPr>
              <w:fldChar w:fldCharType="separate"/>
            </w:r>
            <w:r>
              <w:rPr>
                <w:noProof/>
                <w:webHidden/>
              </w:rPr>
              <w:t>5</w:t>
            </w:r>
            <w:r>
              <w:rPr>
                <w:noProof/>
                <w:webHidden/>
              </w:rPr>
              <w:fldChar w:fldCharType="end"/>
            </w:r>
          </w:hyperlink>
        </w:p>
        <w:p w14:paraId="2D6FE82F" w14:textId="3891830A" w:rsidR="001423CD" w:rsidRDefault="001423CD">
          <w:pPr>
            <w:pStyle w:val="TOC1"/>
            <w:rPr>
              <w:rFonts w:asciiTheme="minorHAnsi" w:eastAsiaTheme="minorEastAsia" w:hAnsiTheme="minorHAnsi" w:cstheme="minorBidi"/>
              <w:b w:val="0"/>
              <w:bCs w:val="0"/>
              <w:caps w:val="0"/>
              <w:noProof/>
              <w:szCs w:val="22"/>
              <w:lang w:eastAsia="et-EE"/>
            </w:rPr>
          </w:pPr>
          <w:hyperlink w:anchor="_Toc143775492" w:history="1">
            <w:r w:rsidRPr="00E91D3D">
              <w:rPr>
                <w:rStyle w:val="Hyperlink"/>
                <w:noProof/>
              </w:rPr>
              <w:t>KOKKUVÕTE</w:t>
            </w:r>
            <w:r>
              <w:rPr>
                <w:noProof/>
                <w:webHidden/>
              </w:rPr>
              <w:tab/>
            </w:r>
            <w:r>
              <w:rPr>
                <w:noProof/>
                <w:webHidden/>
              </w:rPr>
              <w:fldChar w:fldCharType="begin"/>
            </w:r>
            <w:r>
              <w:rPr>
                <w:noProof/>
                <w:webHidden/>
              </w:rPr>
              <w:instrText xml:space="preserve"> PAGEREF _Toc143775492 \h </w:instrText>
            </w:r>
            <w:r>
              <w:rPr>
                <w:noProof/>
                <w:webHidden/>
              </w:rPr>
            </w:r>
            <w:r>
              <w:rPr>
                <w:noProof/>
                <w:webHidden/>
              </w:rPr>
              <w:fldChar w:fldCharType="separate"/>
            </w:r>
            <w:r>
              <w:rPr>
                <w:noProof/>
                <w:webHidden/>
              </w:rPr>
              <w:t>6</w:t>
            </w:r>
            <w:r>
              <w:rPr>
                <w:noProof/>
                <w:webHidden/>
              </w:rPr>
              <w:fldChar w:fldCharType="end"/>
            </w:r>
          </w:hyperlink>
        </w:p>
        <w:p w14:paraId="392B2280" w14:textId="74F1345C" w:rsidR="001423CD" w:rsidRDefault="001423CD">
          <w:pPr>
            <w:pStyle w:val="TOC1"/>
            <w:tabs>
              <w:tab w:val="left" w:pos="403"/>
            </w:tabs>
            <w:rPr>
              <w:rFonts w:asciiTheme="minorHAnsi" w:eastAsiaTheme="minorEastAsia" w:hAnsiTheme="minorHAnsi" w:cstheme="minorBidi"/>
              <w:b w:val="0"/>
              <w:bCs w:val="0"/>
              <w:caps w:val="0"/>
              <w:noProof/>
              <w:szCs w:val="22"/>
              <w:lang w:eastAsia="et-EE"/>
            </w:rPr>
          </w:pPr>
          <w:hyperlink w:anchor="_Toc143775493" w:history="1">
            <w:r w:rsidRPr="00E91D3D">
              <w:rPr>
                <w:rStyle w:val="Hyperlink"/>
                <w:noProof/>
              </w:rPr>
              <w:t>1</w:t>
            </w:r>
            <w:r>
              <w:rPr>
                <w:rFonts w:asciiTheme="minorHAnsi" w:eastAsiaTheme="minorEastAsia" w:hAnsiTheme="minorHAnsi" w:cstheme="minorBidi"/>
                <w:b w:val="0"/>
                <w:bCs w:val="0"/>
                <w:caps w:val="0"/>
                <w:noProof/>
                <w:szCs w:val="22"/>
                <w:lang w:eastAsia="et-EE"/>
              </w:rPr>
              <w:tab/>
            </w:r>
            <w:r w:rsidRPr="00E91D3D">
              <w:rPr>
                <w:rStyle w:val="Hyperlink"/>
                <w:noProof/>
              </w:rPr>
              <w:t>MAKROMAJANDUSPROGNOOS</w:t>
            </w:r>
            <w:r>
              <w:rPr>
                <w:noProof/>
                <w:webHidden/>
              </w:rPr>
              <w:tab/>
            </w:r>
            <w:r>
              <w:rPr>
                <w:noProof/>
                <w:webHidden/>
              </w:rPr>
              <w:fldChar w:fldCharType="begin"/>
            </w:r>
            <w:r>
              <w:rPr>
                <w:noProof/>
                <w:webHidden/>
              </w:rPr>
              <w:instrText xml:space="preserve"> PAGEREF _Toc143775493 \h </w:instrText>
            </w:r>
            <w:r>
              <w:rPr>
                <w:noProof/>
                <w:webHidden/>
              </w:rPr>
            </w:r>
            <w:r>
              <w:rPr>
                <w:noProof/>
                <w:webHidden/>
              </w:rPr>
              <w:fldChar w:fldCharType="separate"/>
            </w:r>
            <w:r>
              <w:rPr>
                <w:noProof/>
                <w:webHidden/>
              </w:rPr>
              <w:t>9</w:t>
            </w:r>
            <w:r>
              <w:rPr>
                <w:noProof/>
                <w:webHidden/>
              </w:rPr>
              <w:fldChar w:fldCharType="end"/>
            </w:r>
          </w:hyperlink>
        </w:p>
        <w:p w14:paraId="46D750A8" w14:textId="4D7053BE" w:rsidR="001423CD" w:rsidRDefault="001423CD">
          <w:pPr>
            <w:pStyle w:val="TOC2"/>
            <w:rPr>
              <w:rFonts w:asciiTheme="minorHAnsi" w:eastAsiaTheme="minorEastAsia" w:hAnsiTheme="minorHAnsi" w:cstheme="minorBidi"/>
              <w:caps w:val="0"/>
              <w:noProof/>
              <w:szCs w:val="22"/>
              <w:lang w:eastAsia="et-EE"/>
            </w:rPr>
          </w:pPr>
          <w:hyperlink w:anchor="_Toc143775494" w:history="1">
            <w:r w:rsidRPr="00E91D3D">
              <w:rPr>
                <w:rStyle w:val="Hyperlink"/>
                <w:noProof/>
              </w:rPr>
              <w:t>1.1</w:t>
            </w:r>
            <w:r>
              <w:rPr>
                <w:rFonts w:asciiTheme="minorHAnsi" w:eastAsiaTheme="minorEastAsia" w:hAnsiTheme="minorHAnsi" w:cstheme="minorBidi"/>
                <w:caps w:val="0"/>
                <w:noProof/>
                <w:szCs w:val="22"/>
                <w:lang w:eastAsia="et-EE"/>
              </w:rPr>
              <w:tab/>
            </w:r>
            <w:r w:rsidRPr="00E91D3D">
              <w:rPr>
                <w:rStyle w:val="Hyperlink"/>
                <w:noProof/>
              </w:rPr>
              <w:t>Majandusaktiivsus ja pakkumine</w:t>
            </w:r>
            <w:r>
              <w:rPr>
                <w:noProof/>
                <w:webHidden/>
              </w:rPr>
              <w:tab/>
            </w:r>
            <w:r>
              <w:rPr>
                <w:noProof/>
                <w:webHidden/>
              </w:rPr>
              <w:fldChar w:fldCharType="begin"/>
            </w:r>
            <w:r>
              <w:rPr>
                <w:noProof/>
                <w:webHidden/>
              </w:rPr>
              <w:instrText xml:space="preserve"> PAGEREF _Toc143775494 \h </w:instrText>
            </w:r>
            <w:r>
              <w:rPr>
                <w:noProof/>
                <w:webHidden/>
              </w:rPr>
            </w:r>
            <w:r>
              <w:rPr>
                <w:noProof/>
                <w:webHidden/>
              </w:rPr>
              <w:fldChar w:fldCharType="separate"/>
            </w:r>
            <w:r>
              <w:rPr>
                <w:noProof/>
                <w:webHidden/>
              </w:rPr>
              <w:t>9</w:t>
            </w:r>
            <w:r>
              <w:rPr>
                <w:noProof/>
                <w:webHidden/>
              </w:rPr>
              <w:fldChar w:fldCharType="end"/>
            </w:r>
          </w:hyperlink>
        </w:p>
        <w:p w14:paraId="4D3E13CC" w14:textId="6C6E953D" w:rsidR="001423CD" w:rsidRDefault="001423CD">
          <w:pPr>
            <w:pStyle w:val="TOC2"/>
            <w:rPr>
              <w:rFonts w:asciiTheme="minorHAnsi" w:eastAsiaTheme="minorEastAsia" w:hAnsiTheme="minorHAnsi" w:cstheme="minorBidi"/>
              <w:caps w:val="0"/>
              <w:noProof/>
              <w:szCs w:val="22"/>
              <w:lang w:eastAsia="et-EE"/>
            </w:rPr>
          </w:pPr>
          <w:hyperlink w:anchor="_Toc143775495" w:history="1">
            <w:r w:rsidRPr="00E91D3D">
              <w:rPr>
                <w:rStyle w:val="Hyperlink"/>
                <w:noProof/>
              </w:rPr>
              <w:t>1.2</w:t>
            </w:r>
            <w:r>
              <w:rPr>
                <w:rFonts w:asciiTheme="minorHAnsi" w:eastAsiaTheme="minorEastAsia" w:hAnsiTheme="minorHAnsi" w:cstheme="minorBidi"/>
                <w:caps w:val="0"/>
                <w:noProof/>
                <w:szCs w:val="22"/>
                <w:lang w:eastAsia="et-EE"/>
              </w:rPr>
              <w:tab/>
            </w:r>
            <w:r w:rsidRPr="00E91D3D">
              <w:rPr>
                <w:rStyle w:val="Hyperlink"/>
                <w:noProof/>
              </w:rPr>
              <w:t>Sisenõudlus</w:t>
            </w:r>
            <w:r>
              <w:rPr>
                <w:noProof/>
                <w:webHidden/>
              </w:rPr>
              <w:tab/>
            </w:r>
            <w:r>
              <w:rPr>
                <w:noProof/>
                <w:webHidden/>
              </w:rPr>
              <w:fldChar w:fldCharType="begin"/>
            </w:r>
            <w:r>
              <w:rPr>
                <w:noProof/>
                <w:webHidden/>
              </w:rPr>
              <w:instrText xml:space="preserve"> PAGEREF _Toc143775495 \h </w:instrText>
            </w:r>
            <w:r>
              <w:rPr>
                <w:noProof/>
                <w:webHidden/>
              </w:rPr>
            </w:r>
            <w:r>
              <w:rPr>
                <w:noProof/>
                <w:webHidden/>
              </w:rPr>
              <w:fldChar w:fldCharType="separate"/>
            </w:r>
            <w:r>
              <w:rPr>
                <w:noProof/>
                <w:webHidden/>
              </w:rPr>
              <w:t>10</w:t>
            </w:r>
            <w:r>
              <w:rPr>
                <w:noProof/>
                <w:webHidden/>
              </w:rPr>
              <w:fldChar w:fldCharType="end"/>
            </w:r>
          </w:hyperlink>
        </w:p>
        <w:p w14:paraId="618A5FFC" w14:textId="15DA7ACE" w:rsidR="001423CD" w:rsidRDefault="001423CD">
          <w:pPr>
            <w:pStyle w:val="TOC2"/>
            <w:rPr>
              <w:rFonts w:asciiTheme="minorHAnsi" w:eastAsiaTheme="minorEastAsia" w:hAnsiTheme="minorHAnsi" w:cstheme="minorBidi"/>
              <w:caps w:val="0"/>
              <w:noProof/>
              <w:szCs w:val="22"/>
              <w:lang w:eastAsia="et-EE"/>
            </w:rPr>
          </w:pPr>
          <w:hyperlink w:anchor="_Toc143775496" w:history="1">
            <w:r w:rsidRPr="00E91D3D">
              <w:rPr>
                <w:rStyle w:val="Hyperlink"/>
                <w:noProof/>
              </w:rPr>
              <w:t>1.3</w:t>
            </w:r>
            <w:r>
              <w:rPr>
                <w:rFonts w:asciiTheme="minorHAnsi" w:eastAsiaTheme="minorEastAsia" w:hAnsiTheme="minorHAnsi" w:cstheme="minorBidi"/>
                <w:caps w:val="0"/>
                <w:noProof/>
                <w:szCs w:val="22"/>
                <w:lang w:eastAsia="et-EE"/>
              </w:rPr>
              <w:tab/>
            </w:r>
            <w:r w:rsidRPr="00E91D3D">
              <w:rPr>
                <w:rStyle w:val="Hyperlink"/>
                <w:noProof/>
              </w:rPr>
              <w:t>Eksport</w:t>
            </w:r>
            <w:r>
              <w:rPr>
                <w:noProof/>
                <w:webHidden/>
              </w:rPr>
              <w:tab/>
            </w:r>
            <w:r>
              <w:rPr>
                <w:noProof/>
                <w:webHidden/>
              </w:rPr>
              <w:fldChar w:fldCharType="begin"/>
            </w:r>
            <w:r>
              <w:rPr>
                <w:noProof/>
                <w:webHidden/>
              </w:rPr>
              <w:instrText xml:space="preserve"> PAGEREF _Toc143775496 \h </w:instrText>
            </w:r>
            <w:r>
              <w:rPr>
                <w:noProof/>
                <w:webHidden/>
              </w:rPr>
            </w:r>
            <w:r>
              <w:rPr>
                <w:noProof/>
                <w:webHidden/>
              </w:rPr>
              <w:fldChar w:fldCharType="separate"/>
            </w:r>
            <w:r>
              <w:rPr>
                <w:noProof/>
                <w:webHidden/>
              </w:rPr>
              <w:t>11</w:t>
            </w:r>
            <w:r>
              <w:rPr>
                <w:noProof/>
                <w:webHidden/>
              </w:rPr>
              <w:fldChar w:fldCharType="end"/>
            </w:r>
          </w:hyperlink>
        </w:p>
        <w:p w14:paraId="14912F73" w14:textId="072D1E88" w:rsidR="001423CD" w:rsidRDefault="001423CD">
          <w:pPr>
            <w:pStyle w:val="TOC2"/>
            <w:rPr>
              <w:rFonts w:asciiTheme="minorHAnsi" w:eastAsiaTheme="minorEastAsia" w:hAnsiTheme="minorHAnsi" w:cstheme="minorBidi"/>
              <w:caps w:val="0"/>
              <w:noProof/>
              <w:szCs w:val="22"/>
              <w:lang w:eastAsia="et-EE"/>
            </w:rPr>
          </w:pPr>
          <w:hyperlink w:anchor="_Toc143775497" w:history="1">
            <w:r w:rsidRPr="00E91D3D">
              <w:rPr>
                <w:rStyle w:val="Hyperlink"/>
                <w:noProof/>
              </w:rPr>
              <w:t>1.4</w:t>
            </w:r>
            <w:r>
              <w:rPr>
                <w:rFonts w:asciiTheme="minorHAnsi" w:eastAsiaTheme="minorEastAsia" w:hAnsiTheme="minorHAnsi" w:cstheme="minorBidi"/>
                <w:caps w:val="0"/>
                <w:noProof/>
                <w:szCs w:val="22"/>
                <w:lang w:eastAsia="et-EE"/>
              </w:rPr>
              <w:tab/>
            </w:r>
            <w:r w:rsidRPr="00E91D3D">
              <w:rPr>
                <w:rStyle w:val="Hyperlink"/>
                <w:noProof/>
              </w:rPr>
              <w:t>Tööturg ja palgad</w:t>
            </w:r>
            <w:r>
              <w:rPr>
                <w:noProof/>
                <w:webHidden/>
              </w:rPr>
              <w:tab/>
            </w:r>
            <w:r>
              <w:rPr>
                <w:noProof/>
                <w:webHidden/>
              </w:rPr>
              <w:fldChar w:fldCharType="begin"/>
            </w:r>
            <w:r>
              <w:rPr>
                <w:noProof/>
                <w:webHidden/>
              </w:rPr>
              <w:instrText xml:space="preserve"> PAGEREF _Toc143775497 \h </w:instrText>
            </w:r>
            <w:r>
              <w:rPr>
                <w:noProof/>
                <w:webHidden/>
              </w:rPr>
            </w:r>
            <w:r>
              <w:rPr>
                <w:noProof/>
                <w:webHidden/>
              </w:rPr>
              <w:fldChar w:fldCharType="separate"/>
            </w:r>
            <w:r>
              <w:rPr>
                <w:noProof/>
                <w:webHidden/>
              </w:rPr>
              <w:t>12</w:t>
            </w:r>
            <w:r>
              <w:rPr>
                <w:noProof/>
                <w:webHidden/>
              </w:rPr>
              <w:fldChar w:fldCharType="end"/>
            </w:r>
          </w:hyperlink>
        </w:p>
        <w:p w14:paraId="20D60DA5" w14:textId="61DEB163" w:rsidR="001423CD" w:rsidRDefault="001423CD">
          <w:pPr>
            <w:pStyle w:val="TOC2"/>
            <w:rPr>
              <w:rFonts w:asciiTheme="minorHAnsi" w:eastAsiaTheme="minorEastAsia" w:hAnsiTheme="minorHAnsi" w:cstheme="minorBidi"/>
              <w:caps w:val="0"/>
              <w:noProof/>
              <w:szCs w:val="22"/>
              <w:lang w:eastAsia="et-EE"/>
            </w:rPr>
          </w:pPr>
          <w:hyperlink w:anchor="_Toc143775498" w:history="1">
            <w:r w:rsidRPr="00E91D3D">
              <w:rPr>
                <w:rStyle w:val="Hyperlink"/>
                <w:noProof/>
              </w:rPr>
              <w:t>1.5</w:t>
            </w:r>
            <w:r>
              <w:rPr>
                <w:rFonts w:asciiTheme="minorHAnsi" w:eastAsiaTheme="minorEastAsia" w:hAnsiTheme="minorHAnsi" w:cstheme="minorBidi"/>
                <w:caps w:val="0"/>
                <w:noProof/>
                <w:szCs w:val="22"/>
                <w:lang w:eastAsia="et-EE"/>
              </w:rPr>
              <w:tab/>
            </w:r>
            <w:r w:rsidRPr="00E91D3D">
              <w:rPr>
                <w:rStyle w:val="Hyperlink"/>
                <w:noProof/>
              </w:rPr>
              <w:t>Tarbijahinnad</w:t>
            </w:r>
            <w:r>
              <w:rPr>
                <w:noProof/>
                <w:webHidden/>
              </w:rPr>
              <w:tab/>
            </w:r>
            <w:r>
              <w:rPr>
                <w:noProof/>
                <w:webHidden/>
              </w:rPr>
              <w:fldChar w:fldCharType="begin"/>
            </w:r>
            <w:r>
              <w:rPr>
                <w:noProof/>
                <w:webHidden/>
              </w:rPr>
              <w:instrText xml:space="preserve"> PAGEREF _Toc143775498 \h </w:instrText>
            </w:r>
            <w:r>
              <w:rPr>
                <w:noProof/>
                <w:webHidden/>
              </w:rPr>
            </w:r>
            <w:r>
              <w:rPr>
                <w:noProof/>
                <w:webHidden/>
              </w:rPr>
              <w:fldChar w:fldCharType="separate"/>
            </w:r>
            <w:r>
              <w:rPr>
                <w:noProof/>
                <w:webHidden/>
              </w:rPr>
              <w:t>13</w:t>
            </w:r>
            <w:r>
              <w:rPr>
                <w:noProof/>
                <w:webHidden/>
              </w:rPr>
              <w:fldChar w:fldCharType="end"/>
            </w:r>
          </w:hyperlink>
        </w:p>
        <w:p w14:paraId="4ED635A1" w14:textId="46C9C6E6" w:rsidR="001423CD" w:rsidRDefault="001423CD">
          <w:pPr>
            <w:pStyle w:val="TOC2"/>
            <w:rPr>
              <w:rFonts w:asciiTheme="minorHAnsi" w:eastAsiaTheme="minorEastAsia" w:hAnsiTheme="minorHAnsi" w:cstheme="minorBidi"/>
              <w:caps w:val="0"/>
              <w:noProof/>
              <w:szCs w:val="22"/>
              <w:lang w:eastAsia="et-EE"/>
            </w:rPr>
          </w:pPr>
          <w:hyperlink w:anchor="_Toc143775499" w:history="1">
            <w:r w:rsidRPr="00E91D3D">
              <w:rPr>
                <w:rStyle w:val="Hyperlink"/>
                <w:noProof/>
              </w:rPr>
              <w:t>1.6</w:t>
            </w:r>
            <w:r>
              <w:rPr>
                <w:rFonts w:asciiTheme="minorHAnsi" w:eastAsiaTheme="minorEastAsia" w:hAnsiTheme="minorHAnsi" w:cstheme="minorBidi"/>
                <w:caps w:val="0"/>
                <w:noProof/>
                <w:szCs w:val="22"/>
                <w:lang w:eastAsia="et-EE"/>
              </w:rPr>
              <w:tab/>
            </w:r>
            <w:r w:rsidRPr="00E91D3D">
              <w:rPr>
                <w:rStyle w:val="Hyperlink"/>
                <w:noProof/>
              </w:rPr>
              <w:t>Majanduse kasvupotentsiaal ja majandustsükkel</w:t>
            </w:r>
            <w:r>
              <w:rPr>
                <w:noProof/>
                <w:webHidden/>
              </w:rPr>
              <w:tab/>
            </w:r>
            <w:r>
              <w:rPr>
                <w:noProof/>
                <w:webHidden/>
              </w:rPr>
              <w:fldChar w:fldCharType="begin"/>
            </w:r>
            <w:r>
              <w:rPr>
                <w:noProof/>
                <w:webHidden/>
              </w:rPr>
              <w:instrText xml:space="preserve"> PAGEREF _Toc143775499 \h </w:instrText>
            </w:r>
            <w:r>
              <w:rPr>
                <w:noProof/>
                <w:webHidden/>
              </w:rPr>
            </w:r>
            <w:r>
              <w:rPr>
                <w:noProof/>
                <w:webHidden/>
              </w:rPr>
              <w:fldChar w:fldCharType="separate"/>
            </w:r>
            <w:r>
              <w:rPr>
                <w:noProof/>
                <w:webHidden/>
              </w:rPr>
              <w:t>14</w:t>
            </w:r>
            <w:r>
              <w:rPr>
                <w:noProof/>
                <w:webHidden/>
              </w:rPr>
              <w:fldChar w:fldCharType="end"/>
            </w:r>
          </w:hyperlink>
        </w:p>
        <w:p w14:paraId="0AD42E4B" w14:textId="4F9DE676" w:rsidR="001423CD" w:rsidRDefault="001423CD">
          <w:pPr>
            <w:pStyle w:val="TOC1"/>
            <w:tabs>
              <w:tab w:val="left" w:pos="403"/>
            </w:tabs>
            <w:rPr>
              <w:rFonts w:asciiTheme="minorHAnsi" w:eastAsiaTheme="minorEastAsia" w:hAnsiTheme="minorHAnsi" w:cstheme="minorBidi"/>
              <w:b w:val="0"/>
              <w:bCs w:val="0"/>
              <w:caps w:val="0"/>
              <w:noProof/>
              <w:szCs w:val="22"/>
              <w:lang w:eastAsia="et-EE"/>
            </w:rPr>
          </w:pPr>
          <w:hyperlink w:anchor="_Toc143775500" w:history="1">
            <w:r w:rsidRPr="00E91D3D">
              <w:rPr>
                <w:rStyle w:val="Hyperlink"/>
                <w:noProof/>
              </w:rPr>
              <w:t>2</w:t>
            </w:r>
            <w:r>
              <w:rPr>
                <w:rFonts w:asciiTheme="minorHAnsi" w:eastAsiaTheme="minorEastAsia" w:hAnsiTheme="minorHAnsi" w:cstheme="minorBidi"/>
                <w:b w:val="0"/>
                <w:bCs w:val="0"/>
                <w:caps w:val="0"/>
                <w:noProof/>
                <w:szCs w:val="22"/>
                <w:lang w:eastAsia="et-EE"/>
              </w:rPr>
              <w:tab/>
            </w:r>
            <w:r w:rsidRPr="00E91D3D">
              <w:rPr>
                <w:rStyle w:val="Hyperlink"/>
                <w:noProof/>
              </w:rPr>
              <w:t>RAHANDUSPROGNOOS</w:t>
            </w:r>
            <w:r>
              <w:rPr>
                <w:noProof/>
                <w:webHidden/>
              </w:rPr>
              <w:tab/>
            </w:r>
            <w:r>
              <w:rPr>
                <w:noProof/>
                <w:webHidden/>
              </w:rPr>
              <w:fldChar w:fldCharType="begin"/>
            </w:r>
            <w:r>
              <w:rPr>
                <w:noProof/>
                <w:webHidden/>
              </w:rPr>
              <w:instrText xml:space="preserve"> PAGEREF _Toc143775500 \h </w:instrText>
            </w:r>
            <w:r>
              <w:rPr>
                <w:noProof/>
                <w:webHidden/>
              </w:rPr>
            </w:r>
            <w:r>
              <w:rPr>
                <w:noProof/>
                <w:webHidden/>
              </w:rPr>
              <w:fldChar w:fldCharType="separate"/>
            </w:r>
            <w:r>
              <w:rPr>
                <w:noProof/>
                <w:webHidden/>
              </w:rPr>
              <w:t>17</w:t>
            </w:r>
            <w:r>
              <w:rPr>
                <w:noProof/>
                <w:webHidden/>
              </w:rPr>
              <w:fldChar w:fldCharType="end"/>
            </w:r>
          </w:hyperlink>
        </w:p>
        <w:p w14:paraId="0900ADB2" w14:textId="48E1286D" w:rsidR="001423CD" w:rsidRDefault="001423CD">
          <w:pPr>
            <w:pStyle w:val="TOC2"/>
            <w:rPr>
              <w:rFonts w:asciiTheme="minorHAnsi" w:eastAsiaTheme="minorEastAsia" w:hAnsiTheme="minorHAnsi" w:cstheme="minorBidi"/>
              <w:caps w:val="0"/>
              <w:noProof/>
              <w:szCs w:val="22"/>
              <w:lang w:eastAsia="et-EE"/>
            </w:rPr>
          </w:pPr>
          <w:hyperlink w:anchor="_Toc143775501" w:history="1">
            <w:r w:rsidRPr="00E91D3D">
              <w:rPr>
                <w:rStyle w:val="Hyperlink"/>
                <w:noProof/>
              </w:rPr>
              <w:t>2.1</w:t>
            </w:r>
            <w:r>
              <w:rPr>
                <w:rFonts w:asciiTheme="minorHAnsi" w:eastAsiaTheme="minorEastAsia" w:hAnsiTheme="minorHAnsi" w:cstheme="minorBidi"/>
                <w:caps w:val="0"/>
                <w:noProof/>
                <w:szCs w:val="22"/>
                <w:lang w:eastAsia="et-EE"/>
              </w:rPr>
              <w:tab/>
            </w:r>
            <w:r w:rsidRPr="00E91D3D">
              <w:rPr>
                <w:rStyle w:val="Hyperlink"/>
                <w:noProof/>
              </w:rPr>
              <w:t>VALITSUSSEKTORI EELARVEPOSITSIOON</w:t>
            </w:r>
            <w:r>
              <w:rPr>
                <w:noProof/>
                <w:webHidden/>
              </w:rPr>
              <w:tab/>
            </w:r>
            <w:r>
              <w:rPr>
                <w:noProof/>
                <w:webHidden/>
              </w:rPr>
              <w:fldChar w:fldCharType="begin"/>
            </w:r>
            <w:r>
              <w:rPr>
                <w:noProof/>
                <w:webHidden/>
              </w:rPr>
              <w:instrText xml:space="preserve"> PAGEREF _Toc143775501 \h </w:instrText>
            </w:r>
            <w:r>
              <w:rPr>
                <w:noProof/>
                <w:webHidden/>
              </w:rPr>
            </w:r>
            <w:r>
              <w:rPr>
                <w:noProof/>
                <w:webHidden/>
              </w:rPr>
              <w:fldChar w:fldCharType="separate"/>
            </w:r>
            <w:r>
              <w:rPr>
                <w:noProof/>
                <w:webHidden/>
              </w:rPr>
              <w:t>17</w:t>
            </w:r>
            <w:r>
              <w:rPr>
                <w:noProof/>
                <w:webHidden/>
              </w:rPr>
              <w:fldChar w:fldCharType="end"/>
            </w:r>
          </w:hyperlink>
        </w:p>
        <w:p w14:paraId="7A142CD9" w14:textId="48C29665" w:rsidR="001423CD" w:rsidRDefault="001423CD">
          <w:pPr>
            <w:pStyle w:val="TOC2"/>
            <w:rPr>
              <w:rFonts w:asciiTheme="minorHAnsi" w:eastAsiaTheme="minorEastAsia" w:hAnsiTheme="minorHAnsi" w:cstheme="minorBidi"/>
              <w:caps w:val="0"/>
              <w:noProof/>
              <w:szCs w:val="22"/>
              <w:lang w:eastAsia="et-EE"/>
            </w:rPr>
          </w:pPr>
          <w:hyperlink w:anchor="_Toc143775502" w:history="1">
            <w:r w:rsidRPr="00E91D3D">
              <w:rPr>
                <w:rStyle w:val="Hyperlink"/>
                <w:noProof/>
              </w:rPr>
              <w:t>2.2</w:t>
            </w:r>
            <w:r>
              <w:rPr>
                <w:rFonts w:asciiTheme="minorHAnsi" w:eastAsiaTheme="minorEastAsia" w:hAnsiTheme="minorHAnsi" w:cstheme="minorBidi"/>
                <w:caps w:val="0"/>
                <w:noProof/>
                <w:szCs w:val="22"/>
                <w:lang w:eastAsia="et-EE"/>
              </w:rPr>
              <w:tab/>
            </w:r>
            <w:r w:rsidRPr="00E91D3D">
              <w:rPr>
                <w:rStyle w:val="Hyperlink"/>
                <w:noProof/>
              </w:rPr>
              <w:t>VALITSUSSEKTORI TULUDE PROGNOOS</w:t>
            </w:r>
            <w:r>
              <w:rPr>
                <w:noProof/>
                <w:webHidden/>
              </w:rPr>
              <w:tab/>
            </w:r>
            <w:r>
              <w:rPr>
                <w:noProof/>
                <w:webHidden/>
              </w:rPr>
              <w:fldChar w:fldCharType="begin"/>
            </w:r>
            <w:r>
              <w:rPr>
                <w:noProof/>
                <w:webHidden/>
              </w:rPr>
              <w:instrText xml:space="preserve"> PAGEREF _Toc143775502 \h </w:instrText>
            </w:r>
            <w:r>
              <w:rPr>
                <w:noProof/>
                <w:webHidden/>
              </w:rPr>
            </w:r>
            <w:r>
              <w:rPr>
                <w:noProof/>
                <w:webHidden/>
              </w:rPr>
              <w:fldChar w:fldCharType="separate"/>
            </w:r>
            <w:r>
              <w:rPr>
                <w:noProof/>
                <w:webHidden/>
              </w:rPr>
              <w:t>19</w:t>
            </w:r>
            <w:r>
              <w:rPr>
                <w:noProof/>
                <w:webHidden/>
              </w:rPr>
              <w:fldChar w:fldCharType="end"/>
            </w:r>
          </w:hyperlink>
        </w:p>
        <w:p w14:paraId="730980F5" w14:textId="6A60CFA6" w:rsidR="001423CD" w:rsidRDefault="001423CD">
          <w:pPr>
            <w:pStyle w:val="TOC3"/>
            <w:rPr>
              <w:rFonts w:asciiTheme="minorHAnsi" w:eastAsiaTheme="minorEastAsia" w:hAnsiTheme="minorHAnsi" w:cstheme="minorBidi"/>
              <w:i w:val="0"/>
              <w:iCs w:val="0"/>
              <w:noProof/>
              <w:szCs w:val="22"/>
              <w:lang w:eastAsia="et-EE"/>
            </w:rPr>
          </w:pPr>
          <w:hyperlink w:anchor="_Toc143775503" w:history="1">
            <w:r w:rsidRPr="00E91D3D">
              <w:rPr>
                <w:rStyle w:val="Hyperlink"/>
                <w:rFonts w:cs="Times New Roman"/>
                <w:noProof/>
              </w:rPr>
              <w:t>2.2.1</w:t>
            </w:r>
            <w:r>
              <w:rPr>
                <w:rFonts w:asciiTheme="minorHAnsi" w:eastAsiaTheme="minorEastAsia" w:hAnsiTheme="minorHAnsi" w:cstheme="minorBidi"/>
                <w:i w:val="0"/>
                <w:iCs w:val="0"/>
                <w:noProof/>
                <w:szCs w:val="22"/>
                <w:lang w:eastAsia="et-EE"/>
              </w:rPr>
              <w:tab/>
            </w:r>
            <w:r w:rsidRPr="00E91D3D">
              <w:rPr>
                <w:rStyle w:val="Hyperlink"/>
                <w:rFonts w:cs="Times New Roman"/>
                <w:noProof/>
              </w:rPr>
              <w:t>Riigieelarve maksuliste tulude prognoos</w:t>
            </w:r>
            <w:r>
              <w:rPr>
                <w:noProof/>
                <w:webHidden/>
              </w:rPr>
              <w:tab/>
            </w:r>
            <w:r>
              <w:rPr>
                <w:noProof/>
                <w:webHidden/>
              </w:rPr>
              <w:fldChar w:fldCharType="begin"/>
            </w:r>
            <w:r>
              <w:rPr>
                <w:noProof/>
                <w:webHidden/>
              </w:rPr>
              <w:instrText xml:space="preserve"> PAGEREF _Toc143775503 \h </w:instrText>
            </w:r>
            <w:r>
              <w:rPr>
                <w:noProof/>
                <w:webHidden/>
              </w:rPr>
            </w:r>
            <w:r>
              <w:rPr>
                <w:noProof/>
                <w:webHidden/>
              </w:rPr>
              <w:fldChar w:fldCharType="separate"/>
            </w:r>
            <w:r>
              <w:rPr>
                <w:noProof/>
                <w:webHidden/>
              </w:rPr>
              <w:t>19</w:t>
            </w:r>
            <w:r>
              <w:rPr>
                <w:noProof/>
                <w:webHidden/>
              </w:rPr>
              <w:fldChar w:fldCharType="end"/>
            </w:r>
          </w:hyperlink>
        </w:p>
        <w:p w14:paraId="4EA52838" w14:textId="7ED8BD2D" w:rsidR="001423CD" w:rsidRDefault="001423CD">
          <w:pPr>
            <w:pStyle w:val="TOC3"/>
            <w:rPr>
              <w:rFonts w:asciiTheme="minorHAnsi" w:eastAsiaTheme="minorEastAsia" w:hAnsiTheme="minorHAnsi" w:cstheme="minorBidi"/>
              <w:i w:val="0"/>
              <w:iCs w:val="0"/>
              <w:noProof/>
              <w:szCs w:val="22"/>
              <w:lang w:eastAsia="et-EE"/>
            </w:rPr>
          </w:pPr>
          <w:hyperlink w:anchor="_Toc143775504" w:history="1">
            <w:r w:rsidRPr="00E91D3D">
              <w:rPr>
                <w:rStyle w:val="Hyperlink"/>
                <w:rFonts w:cs="Times New Roman"/>
                <w:noProof/>
              </w:rPr>
              <w:t>2.2.2</w:t>
            </w:r>
            <w:r>
              <w:rPr>
                <w:rFonts w:asciiTheme="minorHAnsi" w:eastAsiaTheme="minorEastAsia" w:hAnsiTheme="minorHAnsi" w:cstheme="minorBidi"/>
                <w:i w:val="0"/>
                <w:iCs w:val="0"/>
                <w:noProof/>
                <w:szCs w:val="22"/>
                <w:lang w:eastAsia="et-EE"/>
              </w:rPr>
              <w:tab/>
            </w:r>
            <w:r w:rsidRPr="00E91D3D">
              <w:rPr>
                <w:rStyle w:val="Hyperlink"/>
                <w:rFonts w:cs="Times New Roman"/>
                <w:noProof/>
              </w:rPr>
              <w:t>Maksukoormus ja efektiivne maksumäär</w:t>
            </w:r>
            <w:r>
              <w:rPr>
                <w:noProof/>
                <w:webHidden/>
              </w:rPr>
              <w:tab/>
            </w:r>
            <w:r>
              <w:rPr>
                <w:noProof/>
                <w:webHidden/>
              </w:rPr>
              <w:fldChar w:fldCharType="begin"/>
            </w:r>
            <w:r>
              <w:rPr>
                <w:noProof/>
                <w:webHidden/>
              </w:rPr>
              <w:instrText xml:space="preserve"> PAGEREF _Toc143775504 \h </w:instrText>
            </w:r>
            <w:r>
              <w:rPr>
                <w:noProof/>
                <w:webHidden/>
              </w:rPr>
            </w:r>
            <w:r>
              <w:rPr>
                <w:noProof/>
                <w:webHidden/>
              </w:rPr>
              <w:fldChar w:fldCharType="separate"/>
            </w:r>
            <w:r>
              <w:rPr>
                <w:noProof/>
                <w:webHidden/>
              </w:rPr>
              <w:t>23</w:t>
            </w:r>
            <w:r>
              <w:rPr>
                <w:noProof/>
                <w:webHidden/>
              </w:rPr>
              <w:fldChar w:fldCharType="end"/>
            </w:r>
          </w:hyperlink>
        </w:p>
        <w:p w14:paraId="3104D7DE" w14:textId="7C1B3092" w:rsidR="001423CD" w:rsidRDefault="001423CD">
          <w:pPr>
            <w:pStyle w:val="TOC3"/>
            <w:rPr>
              <w:rFonts w:asciiTheme="minorHAnsi" w:eastAsiaTheme="minorEastAsia" w:hAnsiTheme="minorHAnsi" w:cstheme="minorBidi"/>
              <w:i w:val="0"/>
              <w:iCs w:val="0"/>
              <w:noProof/>
              <w:szCs w:val="22"/>
              <w:lang w:eastAsia="et-EE"/>
            </w:rPr>
          </w:pPr>
          <w:hyperlink w:anchor="_Toc143775505" w:history="1">
            <w:r w:rsidRPr="00E91D3D">
              <w:rPr>
                <w:rStyle w:val="Hyperlink"/>
                <w:rFonts w:cs="Times New Roman"/>
                <w:noProof/>
              </w:rPr>
              <w:t>2.2.3</w:t>
            </w:r>
            <w:r>
              <w:rPr>
                <w:rFonts w:asciiTheme="minorHAnsi" w:eastAsiaTheme="minorEastAsia" w:hAnsiTheme="minorHAnsi" w:cstheme="minorBidi"/>
                <w:i w:val="0"/>
                <w:iCs w:val="0"/>
                <w:noProof/>
                <w:szCs w:val="22"/>
                <w:lang w:eastAsia="et-EE"/>
              </w:rPr>
              <w:tab/>
            </w:r>
            <w:r w:rsidRPr="00E91D3D">
              <w:rPr>
                <w:rStyle w:val="Hyperlink"/>
                <w:rFonts w:cs="Times New Roman"/>
                <w:noProof/>
              </w:rPr>
              <w:t>Riigieelarve mittemaksuliste tulude prognoos</w:t>
            </w:r>
            <w:r>
              <w:rPr>
                <w:noProof/>
                <w:webHidden/>
              </w:rPr>
              <w:tab/>
            </w:r>
            <w:r>
              <w:rPr>
                <w:noProof/>
                <w:webHidden/>
              </w:rPr>
              <w:fldChar w:fldCharType="begin"/>
            </w:r>
            <w:r>
              <w:rPr>
                <w:noProof/>
                <w:webHidden/>
              </w:rPr>
              <w:instrText xml:space="preserve"> PAGEREF _Toc143775505 \h </w:instrText>
            </w:r>
            <w:r>
              <w:rPr>
                <w:noProof/>
                <w:webHidden/>
              </w:rPr>
            </w:r>
            <w:r>
              <w:rPr>
                <w:noProof/>
                <w:webHidden/>
              </w:rPr>
              <w:fldChar w:fldCharType="separate"/>
            </w:r>
            <w:r>
              <w:rPr>
                <w:noProof/>
                <w:webHidden/>
              </w:rPr>
              <w:t>24</w:t>
            </w:r>
            <w:r>
              <w:rPr>
                <w:noProof/>
                <w:webHidden/>
              </w:rPr>
              <w:fldChar w:fldCharType="end"/>
            </w:r>
          </w:hyperlink>
        </w:p>
        <w:p w14:paraId="21DA2C3A" w14:textId="60648CC9" w:rsidR="001423CD" w:rsidRDefault="001423CD">
          <w:pPr>
            <w:pStyle w:val="TOC2"/>
            <w:rPr>
              <w:rFonts w:asciiTheme="minorHAnsi" w:eastAsiaTheme="minorEastAsia" w:hAnsiTheme="minorHAnsi" w:cstheme="minorBidi"/>
              <w:caps w:val="0"/>
              <w:noProof/>
              <w:szCs w:val="22"/>
              <w:lang w:eastAsia="et-EE"/>
            </w:rPr>
          </w:pPr>
          <w:hyperlink w:anchor="_Toc143775506" w:history="1">
            <w:r w:rsidRPr="00E91D3D">
              <w:rPr>
                <w:rStyle w:val="Hyperlink"/>
                <w:noProof/>
              </w:rPr>
              <w:t>2.3</w:t>
            </w:r>
            <w:r>
              <w:rPr>
                <w:rFonts w:asciiTheme="minorHAnsi" w:eastAsiaTheme="minorEastAsia" w:hAnsiTheme="minorHAnsi" w:cstheme="minorBidi"/>
                <w:caps w:val="0"/>
                <w:noProof/>
                <w:szCs w:val="22"/>
                <w:lang w:eastAsia="et-EE"/>
              </w:rPr>
              <w:tab/>
            </w:r>
            <w:r w:rsidRPr="00E91D3D">
              <w:rPr>
                <w:rStyle w:val="Hyperlink"/>
                <w:noProof/>
              </w:rPr>
              <w:t>VALITSUSSEKTORI KULUDE PROGNOOS</w:t>
            </w:r>
            <w:r>
              <w:rPr>
                <w:noProof/>
                <w:webHidden/>
              </w:rPr>
              <w:tab/>
            </w:r>
            <w:r>
              <w:rPr>
                <w:noProof/>
                <w:webHidden/>
              </w:rPr>
              <w:fldChar w:fldCharType="begin"/>
            </w:r>
            <w:r>
              <w:rPr>
                <w:noProof/>
                <w:webHidden/>
              </w:rPr>
              <w:instrText xml:space="preserve"> PAGEREF _Toc143775506 \h </w:instrText>
            </w:r>
            <w:r>
              <w:rPr>
                <w:noProof/>
                <w:webHidden/>
              </w:rPr>
            </w:r>
            <w:r>
              <w:rPr>
                <w:noProof/>
                <w:webHidden/>
              </w:rPr>
              <w:fldChar w:fldCharType="separate"/>
            </w:r>
            <w:r>
              <w:rPr>
                <w:noProof/>
                <w:webHidden/>
              </w:rPr>
              <w:t>26</w:t>
            </w:r>
            <w:r>
              <w:rPr>
                <w:noProof/>
                <w:webHidden/>
              </w:rPr>
              <w:fldChar w:fldCharType="end"/>
            </w:r>
          </w:hyperlink>
        </w:p>
        <w:p w14:paraId="49DF78F9" w14:textId="42CC023F" w:rsidR="001423CD" w:rsidRDefault="001423CD">
          <w:pPr>
            <w:pStyle w:val="TOC2"/>
            <w:rPr>
              <w:rFonts w:asciiTheme="minorHAnsi" w:eastAsiaTheme="minorEastAsia" w:hAnsiTheme="minorHAnsi" w:cstheme="minorBidi"/>
              <w:caps w:val="0"/>
              <w:noProof/>
              <w:szCs w:val="22"/>
              <w:lang w:eastAsia="et-EE"/>
            </w:rPr>
          </w:pPr>
          <w:hyperlink w:anchor="_Toc143775507" w:history="1">
            <w:r w:rsidRPr="00E91D3D">
              <w:rPr>
                <w:rStyle w:val="Hyperlink"/>
                <w:noProof/>
              </w:rPr>
              <w:t>2.4</w:t>
            </w:r>
            <w:r>
              <w:rPr>
                <w:rFonts w:asciiTheme="minorHAnsi" w:eastAsiaTheme="minorEastAsia" w:hAnsiTheme="minorHAnsi" w:cstheme="minorBidi"/>
                <w:caps w:val="0"/>
                <w:noProof/>
                <w:szCs w:val="22"/>
                <w:lang w:eastAsia="et-EE"/>
              </w:rPr>
              <w:tab/>
            </w:r>
            <w:r w:rsidRPr="00E91D3D">
              <w:rPr>
                <w:rStyle w:val="Hyperlink"/>
                <w:noProof/>
              </w:rPr>
              <w:t>MAKSUPOLIITIKA MÕJU</w:t>
            </w:r>
            <w:r>
              <w:rPr>
                <w:noProof/>
                <w:webHidden/>
              </w:rPr>
              <w:tab/>
            </w:r>
            <w:r>
              <w:rPr>
                <w:noProof/>
                <w:webHidden/>
              </w:rPr>
              <w:fldChar w:fldCharType="begin"/>
            </w:r>
            <w:r>
              <w:rPr>
                <w:noProof/>
                <w:webHidden/>
              </w:rPr>
              <w:instrText xml:space="preserve"> PAGEREF _Toc143775507 \h </w:instrText>
            </w:r>
            <w:r>
              <w:rPr>
                <w:noProof/>
                <w:webHidden/>
              </w:rPr>
            </w:r>
            <w:r>
              <w:rPr>
                <w:noProof/>
                <w:webHidden/>
              </w:rPr>
              <w:fldChar w:fldCharType="separate"/>
            </w:r>
            <w:r>
              <w:rPr>
                <w:noProof/>
                <w:webHidden/>
              </w:rPr>
              <w:t>29</w:t>
            </w:r>
            <w:r>
              <w:rPr>
                <w:noProof/>
                <w:webHidden/>
              </w:rPr>
              <w:fldChar w:fldCharType="end"/>
            </w:r>
          </w:hyperlink>
        </w:p>
        <w:p w14:paraId="1D30C260" w14:textId="3BCDAAFF" w:rsidR="001423CD" w:rsidRDefault="001423CD">
          <w:pPr>
            <w:pStyle w:val="TOC3"/>
            <w:rPr>
              <w:rFonts w:asciiTheme="minorHAnsi" w:eastAsiaTheme="minorEastAsia" w:hAnsiTheme="minorHAnsi" w:cstheme="minorBidi"/>
              <w:i w:val="0"/>
              <w:iCs w:val="0"/>
              <w:noProof/>
              <w:szCs w:val="22"/>
              <w:lang w:eastAsia="et-EE"/>
            </w:rPr>
          </w:pPr>
          <w:hyperlink w:anchor="_Toc143775508" w:history="1">
            <w:r w:rsidRPr="00E91D3D">
              <w:rPr>
                <w:rStyle w:val="Hyperlink"/>
                <w:noProof/>
              </w:rPr>
              <w:t>2.4.1</w:t>
            </w:r>
            <w:r>
              <w:rPr>
                <w:rFonts w:asciiTheme="minorHAnsi" w:eastAsiaTheme="minorEastAsia" w:hAnsiTheme="minorHAnsi" w:cstheme="minorBidi"/>
                <w:i w:val="0"/>
                <w:iCs w:val="0"/>
                <w:noProof/>
                <w:szCs w:val="22"/>
                <w:lang w:eastAsia="et-EE"/>
              </w:rPr>
              <w:tab/>
            </w:r>
            <w:r w:rsidRPr="00E91D3D">
              <w:rPr>
                <w:rStyle w:val="Hyperlink"/>
                <w:noProof/>
              </w:rPr>
              <w:t>Maksupoliitilised muudatused</w:t>
            </w:r>
            <w:r>
              <w:rPr>
                <w:noProof/>
                <w:webHidden/>
              </w:rPr>
              <w:tab/>
            </w:r>
            <w:r>
              <w:rPr>
                <w:noProof/>
                <w:webHidden/>
              </w:rPr>
              <w:fldChar w:fldCharType="begin"/>
            </w:r>
            <w:r>
              <w:rPr>
                <w:noProof/>
                <w:webHidden/>
              </w:rPr>
              <w:instrText xml:space="preserve"> PAGEREF _Toc143775508 \h </w:instrText>
            </w:r>
            <w:r>
              <w:rPr>
                <w:noProof/>
                <w:webHidden/>
              </w:rPr>
            </w:r>
            <w:r>
              <w:rPr>
                <w:noProof/>
                <w:webHidden/>
              </w:rPr>
              <w:fldChar w:fldCharType="separate"/>
            </w:r>
            <w:r>
              <w:rPr>
                <w:noProof/>
                <w:webHidden/>
              </w:rPr>
              <w:t>29</w:t>
            </w:r>
            <w:r>
              <w:rPr>
                <w:noProof/>
                <w:webHidden/>
              </w:rPr>
              <w:fldChar w:fldCharType="end"/>
            </w:r>
          </w:hyperlink>
        </w:p>
        <w:p w14:paraId="729D8F26" w14:textId="79626A00" w:rsidR="001423CD" w:rsidRDefault="001423CD">
          <w:pPr>
            <w:pStyle w:val="TOC3"/>
            <w:rPr>
              <w:rFonts w:asciiTheme="minorHAnsi" w:eastAsiaTheme="minorEastAsia" w:hAnsiTheme="minorHAnsi" w:cstheme="minorBidi"/>
              <w:i w:val="0"/>
              <w:iCs w:val="0"/>
              <w:noProof/>
              <w:szCs w:val="22"/>
              <w:lang w:eastAsia="et-EE"/>
            </w:rPr>
          </w:pPr>
          <w:hyperlink w:anchor="_Toc143775509" w:history="1">
            <w:r w:rsidRPr="00E91D3D">
              <w:rPr>
                <w:rStyle w:val="Hyperlink"/>
                <w:noProof/>
              </w:rPr>
              <w:t>2.4.2</w:t>
            </w:r>
            <w:r>
              <w:rPr>
                <w:rFonts w:asciiTheme="minorHAnsi" w:eastAsiaTheme="minorEastAsia" w:hAnsiTheme="minorHAnsi" w:cstheme="minorBidi"/>
                <w:i w:val="0"/>
                <w:iCs w:val="0"/>
                <w:noProof/>
                <w:szCs w:val="22"/>
                <w:lang w:eastAsia="et-EE"/>
              </w:rPr>
              <w:tab/>
            </w:r>
            <w:r w:rsidRPr="00E91D3D">
              <w:rPr>
                <w:rStyle w:val="Hyperlink"/>
                <w:noProof/>
              </w:rPr>
              <w:t>Maksukulu</w:t>
            </w:r>
            <w:r>
              <w:rPr>
                <w:noProof/>
                <w:webHidden/>
              </w:rPr>
              <w:tab/>
            </w:r>
            <w:r>
              <w:rPr>
                <w:noProof/>
                <w:webHidden/>
              </w:rPr>
              <w:fldChar w:fldCharType="begin"/>
            </w:r>
            <w:r>
              <w:rPr>
                <w:noProof/>
                <w:webHidden/>
              </w:rPr>
              <w:instrText xml:space="preserve"> PAGEREF _Toc143775509 \h </w:instrText>
            </w:r>
            <w:r>
              <w:rPr>
                <w:noProof/>
                <w:webHidden/>
              </w:rPr>
            </w:r>
            <w:r>
              <w:rPr>
                <w:noProof/>
                <w:webHidden/>
              </w:rPr>
              <w:fldChar w:fldCharType="separate"/>
            </w:r>
            <w:r>
              <w:rPr>
                <w:noProof/>
                <w:webHidden/>
              </w:rPr>
              <w:t>30</w:t>
            </w:r>
            <w:r>
              <w:rPr>
                <w:noProof/>
                <w:webHidden/>
              </w:rPr>
              <w:fldChar w:fldCharType="end"/>
            </w:r>
          </w:hyperlink>
        </w:p>
        <w:p w14:paraId="2189A070" w14:textId="7B27451A" w:rsidR="001423CD" w:rsidRDefault="001423CD">
          <w:pPr>
            <w:pStyle w:val="TOC2"/>
            <w:rPr>
              <w:rFonts w:asciiTheme="minorHAnsi" w:eastAsiaTheme="minorEastAsia" w:hAnsiTheme="minorHAnsi" w:cstheme="minorBidi"/>
              <w:caps w:val="0"/>
              <w:noProof/>
              <w:szCs w:val="22"/>
              <w:lang w:eastAsia="et-EE"/>
            </w:rPr>
          </w:pPr>
          <w:hyperlink w:anchor="_Toc143775510" w:history="1">
            <w:r w:rsidRPr="00E91D3D">
              <w:rPr>
                <w:rStyle w:val="Hyperlink"/>
                <w:noProof/>
              </w:rPr>
              <w:t>2.5</w:t>
            </w:r>
            <w:r>
              <w:rPr>
                <w:rFonts w:asciiTheme="minorHAnsi" w:eastAsiaTheme="minorEastAsia" w:hAnsiTheme="minorHAnsi" w:cstheme="minorBidi"/>
                <w:caps w:val="0"/>
                <w:noProof/>
                <w:szCs w:val="22"/>
                <w:lang w:eastAsia="et-EE"/>
              </w:rPr>
              <w:tab/>
            </w:r>
            <w:r w:rsidRPr="00E91D3D">
              <w:rPr>
                <w:rStyle w:val="Hyperlink"/>
                <w:noProof/>
              </w:rPr>
              <w:t>VALITSUSSEKTORI FINANTSEERIMINE</w:t>
            </w:r>
            <w:r>
              <w:rPr>
                <w:noProof/>
                <w:webHidden/>
              </w:rPr>
              <w:tab/>
            </w:r>
            <w:r>
              <w:rPr>
                <w:noProof/>
                <w:webHidden/>
              </w:rPr>
              <w:fldChar w:fldCharType="begin"/>
            </w:r>
            <w:r>
              <w:rPr>
                <w:noProof/>
                <w:webHidden/>
              </w:rPr>
              <w:instrText xml:space="preserve"> PAGEREF _Toc143775510 \h </w:instrText>
            </w:r>
            <w:r>
              <w:rPr>
                <w:noProof/>
                <w:webHidden/>
              </w:rPr>
            </w:r>
            <w:r>
              <w:rPr>
                <w:noProof/>
                <w:webHidden/>
              </w:rPr>
              <w:fldChar w:fldCharType="separate"/>
            </w:r>
            <w:r>
              <w:rPr>
                <w:noProof/>
                <w:webHidden/>
              </w:rPr>
              <w:t>31</w:t>
            </w:r>
            <w:r>
              <w:rPr>
                <w:noProof/>
                <w:webHidden/>
              </w:rPr>
              <w:fldChar w:fldCharType="end"/>
            </w:r>
          </w:hyperlink>
        </w:p>
        <w:p w14:paraId="37DCB770" w14:textId="2ED41E6D" w:rsidR="001423CD" w:rsidRDefault="001423CD">
          <w:pPr>
            <w:pStyle w:val="TOC1"/>
            <w:tabs>
              <w:tab w:val="left" w:pos="403"/>
            </w:tabs>
            <w:rPr>
              <w:rFonts w:asciiTheme="minorHAnsi" w:eastAsiaTheme="minorEastAsia" w:hAnsiTheme="minorHAnsi" w:cstheme="minorBidi"/>
              <w:b w:val="0"/>
              <w:bCs w:val="0"/>
              <w:caps w:val="0"/>
              <w:noProof/>
              <w:szCs w:val="22"/>
              <w:lang w:eastAsia="et-EE"/>
            </w:rPr>
          </w:pPr>
          <w:hyperlink w:anchor="_Toc143775511" w:history="1">
            <w:r w:rsidRPr="00E91D3D">
              <w:rPr>
                <w:rStyle w:val="Hyperlink"/>
                <w:noProof/>
              </w:rPr>
              <w:t>3</w:t>
            </w:r>
            <w:r>
              <w:rPr>
                <w:rFonts w:asciiTheme="minorHAnsi" w:eastAsiaTheme="minorEastAsia" w:hAnsiTheme="minorHAnsi" w:cstheme="minorBidi"/>
                <w:b w:val="0"/>
                <w:bCs w:val="0"/>
                <w:caps w:val="0"/>
                <w:noProof/>
                <w:szCs w:val="22"/>
                <w:lang w:eastAsia="et-EE"/>
              </w:rPr>
              <w:tab/>
            </w:r>
            <w:r w:rsidRPr="00E91D3D">
              <w:rPr>
                <w:rStyle w:val="Hyperlink"/>
                <w:noProof/>
              </w:rPr>
              <w:t>RISKISTSENAARIUM</w:t>
            </w:r>
            <w:r>
              <w:rPr>
                <w:noProof/>
                <w:webHidden/>
              </w:rPr>
              <w:tab/>
            </w:r>
            <w:r>
              <w:rPr>
                <w:noProof/>
                <w:webHidden/>
              </w:rPr>
              <w:fldChar w:fldCharType="begin"/>
            </w:r>
            <w:r>
              <w:rPr>
                <w:noProof/>
                <w:webHidden/>
              </w:rPr>
              <w:instrText xml:space="preserve"> PAGEREF _Toc143775511 \h </w:instrText>
            </w:r>
            <w:r>
              <w:rPr>
                <w:noProof/>
                <w:webHidden/>
              </w:rPr>
            </w:r>
            <w:r>
              <w:rPr>
                <w:noProof/>
                <w:webHidden/>
              </w:rPr>
              <w:fldChar w:fldCharType="separate"/>
            </w:r>
            <w:r>
              <w:rPr>
                <w:noProof/>
                <w:webHidden/>
              </w:rPr>
              <w:t>33</w:t>
            </w:r>
            <w:r>
              <w:rPr>
                <w:noProof/>
                <w:webHidden/>
              </w:rPr>
              <w:fldChar w:fldCharType="end"/>
            </w:r>
          </w:hyperlink>
        </w:p>
        <w:p w14:paraId="297619DB" w14:textId="12669D7F" w:rsidR="001423CD" w:rsidRDefault="001423CD">
          <w:pPr>
            <w:pStyle w:val="TOC1"/>
            <w:rPr>
              <w:rFonts w:asciiTheme="minorHAnsi" w:eastAsiaTheme="minorEastAsia" w:hAnsiTheme="minorHAnsi" w:cstheme="minorBidi"/>
              <w:b w:val="0"/>
              <w:bCs w:val="0"/>
              <w:caps w:val="0"/>
              <w:noProof/>
              <w:szCs w:val="22"/>
              <w:lang w:eastAsia="et-EE"/>
            </w:rPr>
          </w:pPr>
          <w:hyperlink w:anchor="_Toc143775512" w:history="1">
            <w:r w:rsidRPr="00E91D3D">
              <w:rPr>
                <w:rStyle w:val="Hyperlink"/>
                <w:noProof/>
              </w:rPr>
              <w:t>Lisa 1. PROGNOOSI EELDUSED</w:t>
            </w:r>
            <w:r>
              <w:rPr>
                <w:noProof/>
                <w:webHidden/>
              </w:rPr>
              <w:tab/>
            </w:r>
            <w:r>
              <w:rPr>
                <w:noProof/>
                <w:webHidden/>
              </w:rPr>
              <w:fldChar w:fldCharType="begin"/>
            </w:r>
            <w:r>
              <w:rPr>
                <w:noProof/>
                <w:webHidden/>
              </w:rPr>
              <w:instrText xml:space="preserve"> PAGEREF _Toc143775512 \h </w:instrText>
            </w:r>
            <w:r>
              <w:rPr>
                <w:noProof/>
                <w:webHidden/>
              </w:rPr>
            </w:r>
            <w:r>
              <w:rPr>
                <w:noProof/>
                <w:webHidden/>
              </w:rPr>
              <w:fldChar w:fldCharType="separate"/>
            </w:r>
            <w:r>
              <w:rPr>
                <w:noProof/>
                <w:webHidden/>
              </w:rPr>
              <w:t>35</w:t>
            </w:r>
            <w:r>
              <w:rPr>
                <w:noProof/>
                <w:webHidden/>
              </w:rPr>
              <w:fldChar w:fldCharType="end"/>
            </w:r>
          </w:hyperlink>
        </w:p>
        <w:p w14:paraId="32CABC0E" w14:textId="2D870289" w:rsidR="001423CD" w:rsidRDefault="001423CD">
          <w:pPr>
            <w:pStyle w:val="TOC1"/>
            <w:rPr>
              <w:rFonts w:asciiTheme="minorHAnsi" w:eastAsiaTheme="minorEastAsia" w:hAnsiTheme="minorHAnsi" w:cstheme="minorBidi"/>
              <w:b w:val="0"/>
              <w:bCs w:val="0"/>
              <w:caps w:val="0"/>
              <w:noProof/>
              <w:szCs w:val="22"/>
              <w:lang w:eastAsia="et-EE"/>
            </w:rPr>
          </w:pPr>
          <w:hyperlink w:anchor="_Toc143775513" w:history="1">
            <w:r w:rsidRPr="00E91D3D">
              <w:rPr>
                <w:rStyle w:val="Hyperlink"/>
                <w:noProof/>
              </w:rPr>
              <w:t>Lisa 2. Koalitsioonileppe meetmete ülevaade</w:t>
            </w:r>
            <w:r>
              <w:rPr>
                <w:noProof/>
                <w:webHidden/>
              </w:rPr>
              <w:tab/>
            </w:r>
            <w:r>
              <w:rPr>
                <w:noProof/>
                <w:webHidden/>
              </w:rPr>
              <w:fldChar w:fldCharType="begin"/>
            </w:r>
            <w:r>
              <w:rPr>
                <w:noProof/>
                <w:webHidden/>
              </w:rPr>
              <w:instrText xml:space="preserve"> PAGEREF _Toc143775513 \h </w:instrText>
            </w:r>
            <w:r>
              <w:rPr>
                <w:noProof/>
                <w:webHidden/>
              </w:rPr>
            </w:r>
            <w:r>
              <w:rPr>
                <w:noProof/>
                <w:webHidden/>
              </w:rPr>
              <w:fldChar w:fldCharType="separate"/>
            </w:r>
            <w:r>
              <w:rPr>
                <w:noProof/>
                <w:webHidden/>
              </w:rPr>
              <w:t>38</w:t>
            </w:r>
            <w:r>
              <w:rPr>
                <w:noProof/>
                <w:webHidden/>
              </w:rPr>
              <w:fldChar w:fldCharType="end"/>
            </w:r>
          </w:hyperlink>
        </w:p>
        <w:p w14:paraId="269D223B" w14:textId="24DFA48D" w:rsidR="001423CD" w:rsidRDefault="001423CD">
          <w:pPr>
            <w:pStyle w:val="TOC1"/>
            <w:rPr>
              <w:rFonts w:asciiTheme="minorHAnsi" w:eastAsiaTheme="minorEastAsia" w:hAnsiTheme="minorHAnsi" w:cstheme="minorBidi"/>
              <w:b w:val="0"/>
              <w:bCs w:val="0"/>
              <w:caps w:val="0"/>
              <w:noProof/>
              <w:szCs w:val="22"/>
              <w:lang w:eastAsia="et-EE"/>
            </w:rPr>
          </w:pPr>
          <w:hyperlink w:anchor="_Toc143775514" w:history="1">
            <w:r w:rsidRPr="00E91D3D">
              <w:rPr>
                <w:rStyle w:val="Hyperlink"/>
                <w:noProof/>
              </w:rPr>
              <w:t>Lisa 3. TÄIENDAVAD TABELID JA JOONISED</w:t>
            </w:r>
            <w:r>
              <w:rPr>
                <w:noProof/>
                <w:webHidden/>
              </w:rPr>
              <w:tab/>
            </w:r>
            <w:r>
              <w:rPr>
                <w:noProof/>
                <w:webHidden/>
              </w:rPr>
              <w:fldChar w:fldCharType="begin"/>
            </w:r>
            <w:r>
              <w:rPr>
                <w:noProof/>
                <w:webHidden/>
              </w:rPr>
              <w:instrText xml:space="preserve"> PAGEREF _Toc143775514 \h </w:instrText>
            </w:r>
            <w:r>
              <w:rPr>
                <w:noProof/>
                <w:webHidden/>
              </w:rPr>
            </w:r>
            <w:r>
              <w:rPr>
                <w:noProof/>
                <w:webHidden/>
              </w:rPr>
              <w:fldChar w:fldCharType="separate"/>
            </w:r>
            <w:r>
              <w:rPr>
                <w:noProof/>
                <w:webHidden/>
              </w:rPr>
              <w:t>40</w:t>
            </w:r>
            <w:r>
              <w:rPr>
                <w:noProof/>
                <w:webHidden/>
              </w:rPr>
              <w:fldChar w:fldCharType="end"/>
            </w:r>
          </w:hyperlink>
        </w:p>
        <w:p w14:paraId="7536ED4C" w14:textId="67D655B6" w:rsidR="001423CD" w:rsidRDefault="001423CD">
          <w:pPr>
            <w:pStyle w:val="TOC1"/>
            <w:rPr>
              <w:rFonts w:asciiTheme="minorHAnsi" w:eastAsiaTheme="minorEastAsia" w:hAnsiTheme="minorHAnsi" w:cstheme="minorBidi"/>
              <w:b w:val="0"/>
              <w:bCs w:val="0"/>
              <w:caps w:val="0"/>
              <w:noProof/>
              <w:szCs w:val="22"/>
              <w:lang w:eastAsia="et-EE"/>
            </w:rPr>
          </w:pPr>
          <w:hyperlink w:anchor="_Toc143775515" w:history="1">
            <w:r w:rsidRPr="00E91D3D">
              <w:rPr>
                <w:rStyle w:val="Hyperlink"/>
                <w:noProof/>
              </w:rPr>
              <w:t>MÄRKUSED</w:t>
            </w:r>
            <w:r>
              <w:rPr>
                <w:noProof/>
                <w:webHidden/>
              </w:rPr>
              <w:tab/>
            </w:r>
            <w:r>
              <w:rPr>
                <w:noProof/>
                <w:webHidden/>
              </w:rPr>
              <w:fldChar w:fldCharType="begin"/>
            </w:r>
            <w:r>
              <w:rPr>
                <w:noProof/>
                <w:webHidden/>
              </w:rPr>
              <w:instrText xml:space="preserve"> PAGEREF _Toc143775515 \h </w:instrText>
            </w:r>
            <w:r>
              <w:rPr>
                <w:noProof/>
                <w:webHidden/>
              </w:rPr>
            </w:r>
            <w:r>
              <w:rPr>
                <w:noProof/>
                <w:webHidden/>
              </w:rPr>
              <w:fldChar w:fldCharType="separate"/>
            </w:r>
            <w:r>
              <w:rPr>
                <w:noProof/>
                <w:webHidden/>
              </w:rPr>
              <w:t>53</w:t>
            </w:r>
            <w:r>
              <w:rPr>
                <w:noProof/>
                <w:webHidden/>
              </w:rPr>
              <w:fldChar w:fldCharType="end"/>
            </w:r>
          </w:hyperlink>
        </w:p>
        <w:p w14:paraId="05392BF9" w14:textId="573A81D5" w:rsidR="00CD7FAE" w:rsidRPr="00414819" w:rsidRDefault="00CD7FAE" w:rsidP="00E66452">
          <w:pPr>
            <w:rPr>
              <w:highlight w:val="yellow"/>
            </w:rPr>
          </w:pPr>
          <w:r w:rsidRPr="00414819">
            <w:rPr>
              <w:b/>
              <w:bCs/>
              <w:highlight w:val="yellow"/>
            </w:rPr>
            <w:fldChar w:fldCharType="end"/>
          </w:r>
        </w:p>
      </w:sdtContent>
    </w:sdt>
    <w:p w14:paraId="1B09FA16" w14:textId="3B0820FB" w:rsidR="00CF1260" w:rsidRPr="00414819" w:rsidRDefault="00CF1260" w:rsidP="00CF1260">
      <w:pPr>
        <w:pStyle w:val="Phitekst"/>
        <w:rPr>
          <w:highlight w:val="yellow"/>
        </w:rPr>
      </w:pPr>
      <w:bookmarkStart w:id="9" w:name="_Toc64844918"/>
      <w:bookmarkStart w:id="10" w:name="_Toc64847870"/>
      <w:bookmarkStart w:id="11" w:name="_Toc64848903"/>
    </w:p>
    <w:p w14:paraId="7A05BCB0" w14:textId="77777777" w:rsidR="00C828EE" w:rsidRPr="00414819" w:rsidRDefault="00C828EE" w:rsidP="00CF1260">
      <w:pPr>
        <w:pStyle w:val="Phitekst"/>
        <w:rPr>
          <w:highlight w:val="yellow"/>
        </w:rPr>
        <w:sectPr w:rsidR="00C828EE" w:rsidRPr="00414819" w:rsidSect="00522497">
          <w:endnotePr>
            <w:numFmt w:val="decimal"/>
          </w:endnotePr>
          <w:pgSz w:w="11906" w:h="16838"/>
          <w:pgMar w:top="964" w:right="964" w:bottom="964" w:left="964" w:header="709" w:footer="709" w:gutter="0"/>
          <w:cols w:space="708"/>
          <w:docGrid w:linePitch="360"/>
        </w:sectPr>
      </w:pPr>
    </w:p>
    <w:p w14:paraId="7876B0C5" w14:textId="77777777" w:rsidR="00022D9C" w:rsidRPr="00414819" w:rsidRDefault="00022D9C" w:rsidP="00022D9C">
      <w:pPr>
        <w:pStyle w:val="Rhutus1"/>
        <w:rPr>
          <w:highlight w:val="yellow"/>
        </w:rPr>
      </w:pPr>
    </w:p>
    <w:p w14:paraId="2FA6854A" w14:textId="0AB5B894" w:rsidR="00BF294D" w:rsidRPr="00D84B51" w:rsidRDefault="00BF294D" w:rsidP="00E66452">
      <w:pPr>
        <w:pStyle w:val="Numbritapealkiri"/>
      </w:pPr>
      <w:bookmarkStart w:id="12" w:name="_Toc143775490"/>
      <w:r w:rsidRPr="00D84B51">
        <w:t>JOONISED</w:t>
      </w:r>
      <w:bookmarkEnd w:id="9"/>
      <w:bookmarkEnd w:id="10"/>
      <w:bookmarkEnd w:id="11"/>
      <w:bookmarkEnd w:id="12"/>
    </w:p>
    <w:p w14:paraId="1B3D4E08" w14:textId="3C6CD075" w:rsidR="001423CD" w:rsidRDefault="00177B6A">
      <w:pPr>
        <w:pStyle w:val="TableofFigures"/>
        <w:tabs>
          <w:tab w:val="right" w:leader="dot" w:pos="9968"/>
        </w:tabs>
        <w:rPr>
          <w:rFonts w:asciiTheme="minorHAnsi" w:eastAsiaTheme="minorEastAsia" w:hAnsiTheme="minorHAnsi"/>
          <w:noProof/>
          <w:lang w:eastAsia="et-EE"/>
        </w:rPr>
      </w:pPr>
      <w:r w:rsidRPr="00414819">
        <w:rPr>
          <w:highlight w:val="yellow"/>
        </w:rPr>
        <w:fldChar w:fldCharType="begin"/>
      </w:r>
      <w:r w:rsidR="00886BEE" w:rsidRPr="00414819">
        <w:rPr>
          <w:highlight w:val="yellow"/>
        </w:rPr>
        <w:instrText xml:space="preserve"> TOC \h \z \c "Joonis" </w:instrText>
      </w:r>
      <w:r w:rsidRPr="00414819">
        <w:rPr>
          <w:highlight w:val="yellow"/>
        </w:rPr>
        <w:fldChar w:fldCharType="separate"/>
      </w:r>
      <w:hyperlink w:anchor="_Toc143775516" w:history="1">
        <w:r w:rsidR="001423CD" w:rsidRPr="005033E3">
          <w:rPr>
            <w:rStyle w:val="Hyperlink"/>
            <w:noProof/>
          </w:rPr>
          <w:t>Joonis 1. Valitsussektori nominaalne eelarvepositsioon, % SKPst</w:t>
        </w:r>
        <w:r w:rsidR="001423CD">
          <w:rPr>
            <w:noProof/>
            <w:webHidden/>
          </w:rPr>
          <w:tab/>
        </w:r>
        <w:r w:rsidR="001423CD">
          <w:rPr>
            <w:noProof/>
            <w:webHidden/>
          </w:rPr>
          <w:fldChar w:fldCharType="begin"/>
        </w:r>
        <w:r w:rsidR="001423CD">
          <w:rPr>
            <w:noProof/>
            <w:webHidden/>
          </w:rPr>
          <w:instrText xml:space="preserve"> PAGEREF _Toc143775516 \h </w:instrText>
        </w:r>
        <w:r w:rsidR="001423CD">
          <w:rPr>
            <w:noProof/>
            <w:webHidden/>
          </w:rPr>
        </w:r>
        <w:r w:rsidR="001423CD">
          <w:rPr>
            <w:noProof/>
            <w:webHidden/>
          </w:rPr>
          <w:fldChar w:fldCharType="separate"/>
        </w:r>
        <w:r w:rsidR="001423CD">
          <w:rPr>
            <w:noProof/>
            <w:webHidden/>
          </w:rPr>
          <w:t>7</w:t>
        </w:r>
        <w:r w:rsidR="001423CD">
          <w:rPr>
            <w:noProof/>
            <w:webHidden/>
          </w:rPr>
          <w:fldChar w:fldCharType="end"/>
        </w:r>
      </w:hyperlink>
    </w:p>
    <w:p w14:paraId="19E7384D" w14:textId="4D85B25F" w:rsidR="001423CD" w:rsidRDefault="001423CD">
      <w:pPr>
        <w:pStyle w:val="TableofFigures"/>
        <w:tabs>
          <w:tab w:val="right" w:leader="dot" w:pos="9968"/>
        </w:tabs>
        <w:rPr>
          <w:rFonts w:asciiTheme="minorHAnsi" w:eastAsiaTheme="minorEastAsia" w:hAnsiTheme="minorHAnsi"/>
          <w:noProof/>
          <w:lang w:eastAsia="et-EE"/>
        </w:rPr>
      </w:pPr>
      <w:hyperlink w:anchor="_Toc143775517" w:history="1">
        <w:r w:rsidRPr="005033E3">
          <w:rPr>
            <w:rStyle w:val="Hyperlink"/>
            <w:noProof/>
          </w:rPr>
          <w:t>Joonis 2. Valitsussektori võlakoormus, % SKPst</w:t>
        </w:r>
        <w:r>
          <w:rPr>
            <w:noProof/>
            <w:webHidden/>
          </w:rPr>
          <w:tab/>
        </w:r>
        <w:r>
          <w:rPr>
            <w:noProof/>
            <w:webHidden/>
          </w:rPr>
          <w:fldChar w:fldCharType="begin"/>
        </w:r>
        <w:r>
          <w:rPr>
            <w:noProof/>
            <w:webHidden/>
          </w:rPr>
          <w:instrText xml:space="preserve"> PAGEREF _Toc143775517 \h </w:instrText>
        </w:r>
        <w:r>
          <w:rPr>
            <w:noProof/>
            <w:webHidden/>
          </w:rPr>
        </w:r>
        <w:r>
          <w:rPr>
            <w:noProof/>
            <w:webHidden/>
          </w:rPr>
          <w:fldChar w:fldCharType="separate"/>
        </w:r>
        <w:r>
          <w:rPr>
            <w:noProof/>
            <w:webHidden/>
          </w:rPr>
          <w:t>8</w:t>
        </w:r>
        <w:r>
          <w:rPr>
            <w:noProof/>
            <w:webHidden/>
          </w:rPr>
          <w:fldChar w:fldCharType="end"/>
        </w:r>
      </w:hyperlink>
    </w:p>
    <w:p w14:paraId="5667A452" w14:textId="0DA29A6D" w:rsidR="001423CD" w:rsidRDefault="001423CD">
      <w:pPr>
        <w:pStyle w:val="TableofFigures"/>
        <w:tabs>
          <w:tab w:val="right" w:leader="dot" w:pos="9968"/>
        </w:tabs>
        <w:rPr>
          <w:rFonts w:asciiTheme="minorHAnsi" w:eastAsiaTheme="minorEastAsia" w:hAnsiTheme="minorHAnsi"/>
          <w:noProof/>
          <w:lang w:eastAsia="et-EE"/>
        </w:rPr>
      </w:pPr>
      <w:hyperlink w:anchor="_Toc143775518" w:history="1">
        <w:r w:rsidRPr="005033E3">
          <w:rPr>
            <w:rStyle w:val="Hyperlink"/>
            <w:noProof/>
          </w:rPr>
          <w:t>Joonis 3. Eratarbimise nominaal- ja reaalkasv (% v.e.a.)</w:t>
        </w:r>
        <w:r>
          <w:rPr>
            <w:noProof/>
            <w:webHidden/>
          </w:rPr>
          <w:tab/>
        </w:r>
        <w:r>
          <w:rPr>
            <w:noProof/>
            <w:webHidden/>
          </w:rPr>
          <w:fldChar w:fldCharType="begin"/>
        </w:r>
        <w:r>
          <w:rPr>
            <w:noProof/>
            <w:webHidden/>
          </w:rPr>
          <w:instrText xml:space="preserve"> PAGEREF _Toc143775518 \h </w:instrText>
        </w:r>
        <w:r>
          <w:rPr>
            <w:noProof/>
            <w:webHidden/>
          </w:rPr>
        </w:r>
        <w:r>
          <w:rPr>
            <w:noProof/>
            <w:webHidden/>
          </w:rPr>
          <w:fldChar w:fldCharType="separate"/>
        </w:r>
        <w:r>
          <w:rPr>
            <w:noProof/>
            <w:webHidden/>
          </w:rPr>
          <w:t>10</w:t>
        </w:r>
        <w:r>
          <w:rPr>
            <w:noProof/>
            <w:webHidden/>
          </w:rPr>
          <w:fldChar w:fldCharType="end"/>
        </w:r>
      </w:hyperlink>
    </w:p>
    <w:p w14:paraId="6117C4C7" w14:textId="34C4F120" w:rsidR="001423CD" w:rsidRDefault="001423CD">
      <w:pPr>
        <w:pStyle w:val="TableofFigures"/>
        <w:tabs>
          <w:tab w:val="right" w:leader="dot" w:pos="9968"/>
        </w:tabs>
        <w:rPr>
          <w:rFonts w:asciiTheme="minorHAnsi" w:eastAsiaTheme="minorEastAsia" w:hAnsiTheme="minorHAnsi"/>
          <w:noProof/>
          <w:lang w:eastAsia="et-EE"/>
        </w:rPr>
      </w:pPr>
      <w:hyperlink w:anchor="_Toc143775519" w:history="1">
        <w:r w:rsidRPr="005033E3">
          <w:rPr>
            <w:rStyle w:val="Hyperlink"/>
            <w:noProof/>
          </w:rPr>
          <w:t>Joonis 4. Ekspordi areng (%)</w:t>
        </w:r>
        <w:r>
          <w:rPr>
            <w:noProof/>
            <w:webHidden/>
          </w:rPr>
          <w:tab/>
        </w:r>
        <w:r>
          <w:rPr>
            <w:noProof/>
            <w:webHidden/>
          </w:rPr>
          <w:fldChar w:fldCharType="begin"/>
        </w:r>
        <w:r>
          <w:rPr>
            <w:noProof/>
            <w:webHidden/>
          </w:rPr>
          <w:instrText xml:space="preserve"> PAGEREF _Toc143775519 \h </w:instrText>
        </w:r>
        <w:r>
          <w:rPr>
            <w:noProof/>
            <w:webHidden/>
          </w:rPr>
        </w:r>
        <w:r>
          <w:rPr>
            <w:noProof/>
            <w:webHidden/>
          </w:rPr>
          <w:fldChar w:fldCharType="separate"/>
        </w:r>
        <w:r>
          <w:rPr>
            <w:noProof/>
            <w:webHidden/>
          </w:rPr>
          <w:t>11</w:t>
        </w:r>
        <w:r>
          <w:rPr>
            <w:noProof/>
            <w:webHidden/>
          </w:rPr>
          <w:fldChar w:fldCharType="end"/>
        </w:r>
      </w:hyperlink>
    </w:p>
    <w:p w14:paraId="67E4E680" w14:textId="58BD1EAB" w:rsidR="001423CD" w:rsidRDefault="001423CD">
      <w:pPr>
        <w:pStyle w:val="TableofFigures"/>
        <w:tabs>
          <w:tab w:val="right" w:leader="dot" w:pos="9968"/>
        </w:tabs>
        <w:rPr>
          <w:rFonts w:asciiTheme="minorHAnsi" w:eastAsiaTheme="minorEastAsia" w:hAnsiTheme="minorHAnsi"/>
          <w:noProof/>
          <w:lang w:eastAsia="et-EE"/>
        </w:rPr>
      </w:pPr>
      <w:hyperlink w:anchor="_Toc143775520" w:history="1">
        <w:r w:rsidRPr="005033E3">
          <w:rPr>
            <w:rStyle w:val="Hyperlink"/>
            <w:noProof/>
          </w:rPr>
          <w:t>Joonis 5. Jooksevkonto struktuur (% SKPst)</w:t>
        </w:r>
        <w:r>
          <w:rPr>
            <w:noProof/>
            <w:webHidden/>
          </w:rPr>
          <w:tab/>
        </w:r>
        <w:r>
          <w:rPr>
            <w:noProof/>
            <w:webHidden/>
          </w:rPr>
          <w:fldChar w:fldCharType="begin"/>
        </w:r>
        <w:r>
          <w:rPr>
            <w:noProof/>
            <w:webHidden/>
          </w:rPr>
          <w:instrText xml:space="preserve"> PAGEREF _Toc143775520 \h </w:instrText>
        </w:r>
        <w:r>
          <w:rPr>
            <w:noProof/>
            <w:webHidden/>
          </w:rPr>
        </w:r>
        <w:r>
          <w:rPr>
            <w:noProof/>
            <w:webHidden/>
          </w:rPr>
          <w:fldChar w:fldCharType="separate"/>
        </w:r>
        <w:r>
          <w:rPr>
            <w:noProof/>
            <w:webHidden/>
          </w:rPr>
          <w:t>12</w:t>
        </w:r>
        <w:r>
          <w:rPr>
            <w:noProof/>
            <w:webHidden/>
          </w:rPr>
          <w:fldChar w:fldCharType="end"/>
        </w:r>
      </w:hyperlink>
    </w:p>
    <w:p w14:paraId="536B9F08" w14:textId="5EC5F749" w:rsidR="001423CD" w:rsidRDefault="001423CD">
      <w:pPr>
        <w:pStyle w:val="TableofFigures"/>
        <w:tabs>
          <w:tab w:val="right" w:leader="dot" w:pos="9968"/>
        </w:tabs>
        <w:rPr>
          <w:rFonts w:asciiTheme="minorHAnsi" w:eastAsiaTheme="minorEastAsia" w:hAnsiTheme="minorHAnsi"/>
          <w:noProof/>
          <w:lang w:eastAsia="et-EE"/>
        </w:rPr>
      </w:pPr>
      <w:hyperlink w:anchor="_Toc143775521" w:history="1">
        <w:r w:rsidRPr="005033E3">
          <w:rPr>
            <w:rStyle w:val="Hyperlink"/>
            <w:noProof/>
          </w:rPr>
          <w:t>Joonis 6. Tööturu areng, (%)</w:t>
        </w:r>
        <w:r>
          <w:rPr>
            <w:noProof/>
            <w:webHidden/>
          </w:rPr>
          <w:tab/>
        </w:r>
        <w:r>
          <w:rPr>
            <w:noProof/>
            <w:webHidden/>
          </w:rPr>
          <w:fldChar w:fldCharType="begin"/>
        </w:r>
        <w:r>
          <w:rPr>
            <w:noProof/>
            <w:webHidden/>
          </w:rPr>
          <w:instrText xml:space="preserve"> PAGEREF _Toc143775521 \h </w:instrText>
        </w:r>
        <w:r>
          <w:rPr>
            <w:noProof/>
            <w:webHidden/>
          </w:rPr>
        </w:r>
        <w:r>
          <w:rPr>
            <w:noProof/>
            <w:webHidden/>
          </w:rPr>
          <w:fldChar w:fldCharType="separate"/>
        </w:r>
        <w:r>
          <w:rPr>
            <w:noProof/>
            <w:webHidden/>
          </w:rPr>
          <w:t>13</w:t>
        </w:r>
        <w:r>
          <w:rPr>
            <w:noProof/>
            <w:webHidden/>
          </w:rPr>
          <w:fldChar w:fldCharType="end"/>
        </w:r>
      </w:hyperlink>
    </w:p>
    <w:p w14:paraId="62C0CA46" w14:textId="255FFE66" w:rsidR="001423CD" w:rsidRDefault="001423CD">
      <w:pPr>
        <w:pStyle w:val="TableofFigures"/>
        <w:tabs>
          <w:tab w:val="right" w:leader="dot" w:pos="9968"/>
        </w:tabs>
        <w:rPr>
          <w:rFonts w:asciiTheme="minorHAnsi" w:eastAsiaTheme="minorEastAsia" w:hAnsiTheme="minorHAnsi"/>
          <w:noProof/>
          <w:lang w:eastAsia="et-EE"/>
        </w:rPr>
      </w:pPr>
      <w:hyperlink w:anchor="_Toc143775522" w:history="1">
        <w:r w:rsidRPr="005033E3">
          <w:rPr>
            <w:rStyle w:val="Hyperlink"/>
            <w:noProof/>
          </w:rPr>
          <w:t>Joonis 7. Palga areng (%)</w:t>
        </w:r>
        <w:r>
          <w:rPr>
            <w:noProof/>
            <w:webHidden/>
          </w:rPr>
          <w:tab/>
        </w:r>
        <w:r>
          <w:rPr>
            <w:noProof/>
            <w:webHidden/>
          </w:rPr>
          <w:fldChar w:fldCharType="begin"/>
        </w:r>
        <w:r>
          <w:rPr>
            <w:noProof/>
            <w:webHidden/>
          </w:rPr>
          <w:instrText xml:space="preserve"> PAGEREF _Toc143775522 \h </w:instrText>
        </w:r>
        <w:r>
          <w:rPr>
            <w:noProof/>
            <w:webHidden/>
          </w:rPr>
        </w:r>
        <w:r>
          <w:rPr>
            <w:noProof/>
            <w:webHidden/>
          </w:rPr>
          <w:fldChar w:fldCharType="separate"/>
        </w:r>
        <w:r>
          <w:rPr>
            <w:noProof/>
            <w:webHidden/>
          </w:rPr>
          <w:t>13</w:t>
        </w:r>
        <w:r>
          <w:rPr>
            <w:noProof/>
            <w:webHidden/>
          </w:rPr>
          <w:fldChar w:fldCharType="end"/>
        </w:r>
      </w:hyperlink>
    </w:p>
    <w:p w14:paraId="191CCD81" w14:textId="25460D8C" w:rsidR="001423CD" w:rsidRDefault="001423CD">
      <w:pPr>
        <w:pStyle w:val="TableofFigures"/>
        <w:tabs>
          <w:tab w:val="right" w:leader="dot" w:pos="9968"/>
        </w:tabs>
        <w:rPr>
          <w:rFonts w:asciiTheme="minorHAnsi" w:eastAsiaTheme="minorEastAsia" w:hAnsiTheme="minorHAnsi"/>
          <w:noProof/>
          <w:lang w:eastAsia="et-EE"/>
        </w:rPr>
      </w:pPr>
      <w:hyperlink w:anchor="_Toc143775523" w:history="1">
        <w:r w:rsidRPr="005033E3">
          <w:rPr>
            <w:rStyle w:val="Hyperlink"/>
            <w:noProof/>
          </w:rPr>
          <w:t>Joonis 8. Hindade dünaamika (%)</w:t>
        </w:r>
        <w:r>
          <w:rPr>
            <w:noProof/>
            <w:webHidden/>
          </w:rPr>
          <w:tab/>
        </w:r>
        <w:r>
          <w:rPr>
            <w:noProof/>
            <w:webHidden/>
          </w:rPr>
          <w:fldChar w:fldCharType="begin"/>
        </w:r>
        <w:r>
          <w:rPr>
            <w:noProof/>
            <w:webHidden/>
          </w:rPr>
          <w:instrText xml:space="preserve"> PAGEREF _Toc143775523 \h </w:instrText>
        </w:r>
        <w:r>
          <w:rPr>
            <w:noProof/>
            <w:webHidden/>
          </w:rPr>
        </w:r>
        <w:r>
          <w:rPr>
            <w:noProof/>
            <w:webHidden/>
          </w:rPr>
          <w:fldChar w:fldCharType="separate"/>
        </w:r>
        <w:r>
          <w:rPr>
            <w:noProof/>
            <w:webHidden/>
          </w:rPr>
          <w:t>14</w:t>
        </w:r>
        <w:r>
          <w:rPr>
            <w:noProof/>
            <w:webHidden/>
          </w:rPr>
          <w:fldChar w:fldCharType="end"/>
        </w:r>
      </w:hyperlink>
    </w:p>
    <w:p w14:paraId="01047AD3" w14:textId="1D8EB32C" w:rsidR="001423CD" w:rsidRDefault="001423CD">
      <w:pPr>
        <w:pStyle w:val="TableofFigures"/>
        <w:tabs>
          <w:tab w:val="right" w:leader="dot" w:pos="9968"/>
        </w:tabs>
        <w:rPr>
          <w:rFonts w:asciiTheme="minorHAnsi" w:eastAsiaTheme="minorEastAsia" w:hAnsiTheme="minorHAnsi"/>
          <w:noProof/>
          <w:lang w:eastAsia="et-EE"/>
        </w:rPr>
      </w:pPr>
      <w:hyperlink w:anchor="_Toc143775524" w:history="1">
        <w:r w:rsidRPr="005033E3">
          <w:rPr>
            <w:rStyle w:val="Hyperlink"/>
            <w:noProof/>
          </w:rPr>
          <w:t>Joonis 9. Kasvupotentsiaal (%) ja majandustsükkel (% SKPst)</w:t>
        </w:r>
        <w:r>
          <w:rPr>
            <w:noProof/>
            <w:webHidden/>
          </w:rPr>
          <w:tab/>
        </w:r>
        <w:r>
          <w:rPr>
            <w:noProof/>
            <w:webHidden/>
          </w:rPr>
          <w:fldChar w:fldCharType="begin"/>
        </w:r>
        <w:r>
          <w:rPr>
            <w:noProof/>
            <w:webHidden/>
          </w:rPr>
          <w:instrText xml:space="preserve"> PAGEREF _Toc143775524 \h </w:instrText>
        </w:r>
        <w:r>
          <w:rPr>
            <w:noProof/>
            <w:webHidden/>
          </w:rPr>
        </w:r>
        <w:r>
          <w:rPr>
            <w:noProof/>
            <w:webHidden/>
          </w:rPr>
          <w:fldChar w:fldCharType="separate"/>
        </w:r>
        <w:r>
          <w:rPr>
            <w:noProof/>
            <w:webHidden/>
          </w:rPr>
          <w:t>15</w:t>
        </w:r>
        <w:r>
          <w:rPr>
            <w:noProof/>
            <w:webHidden/>
          </w:rPr>
          <w:fldChar w:fldCharType="end"/>
        </w:r>
      </w:hyperlink>
    </w:p>
    <w:p w14:paraId="23E8A388" w14:textId="2D532151" w:rsidR="001423CD" w:rsidRDefault="001423CD">
      <w:pPr>
        <w:pStyle w:val="TableofFigures"/>
        <w:tabs>
          <w:tab w:val="right" w:leader="dot" w:pos="9968"/>
        </w:tabs>
        <w:rPr>
          <w:rFonts w:asciiTheme="minorHAnsi" w:eastAsiaTheme="minorEastAsia" w:hAnsiTheme="minorHAnsi"/>
          <w:noProof/>
          <w:lang w:eastAsia="et-EE"/>
        </w:rPr>
      </w:pPr>
      <w:hyperlink w:anchor="_Toc143775525" w:history="1">
        <w:r w:rsidRPr="005033E3">
          <w:rPr>
            <w:rStyle w:val="Hyperlink"/>
            <w:noProof/>
          </w:rPr>
          <w:t>Joonis 10. Tegelik ja loomulik töötus (NAWRU), %</w:t>
        </w:r>
        <w:r>
          <w:rPr>
            <w:noProof/>
            <w:webHidden/>
          </w:rPr>
          <w:tab/>
        </w:r>
        <w:r>
          <w:rPr>
            <w:noProof/>
            <w:webHidden/>
          </w:rPr>
          <w:fldChar w:fldCharType="begin"/>
        </w:r>
        <w:r>
          <w:rPr>
            <w:noProof/>
            <w:webHidden/>
          </w:rPr>
          <w:instrText xml:space="preserve"> PAGEREF _Toc143775525 \h </w:instrText>
        </w:r>
        <w:r>
          <w:rPr>
            <w:noProof/>
            <w:webHidden/>
          </w:rPr>
        </w:r>
        <w:r>
          <w:rPr>
            <w:noProof/>
            <w:webHidden/>
          </w:rPr>
          <w:fldChar w:fldCharType="separate"/>
        </w:r>
        <w:r>
          <w:rPr>
            <w:noProof/>
            <w:webHidden/>
          </w:rPr>
          <w:t>15</w:t>
        </w:r>
        <w:r>
          <w:rPr>
            <w:noProof/>
            <w:webHidden/>
          </w:rPr>
          <w:fldChar w:fldCharType="end"/>
        </w:r>
      </w:hyperlink>
    </w:p>
    <w:p w14:paraId="2ED658B3" w14:textId="128CCC01" w:rsidR="001423CD" w:rsidRDefault="001423CD">
      <w:pPr>
        <w:pStyle w:val="TableofFigures"/>
        <w:tabs>
          <w:tab w:val="right" w:leader="dot" w:pos="9968"/>
        </w:tabs>
        <w:rPr>
          <w:rFonts w:asciiTheme="minorHAnsi" w:eastAsiaTheme="minorEastAsia" w:hAnsiTheme="minorHAnsi"/>
          <w:noProof/>
          <w:lang w:eastAsia="et-EE"/>
        </w:rPr>
      </w:pPr>
      <w:hyperlink w:anchor="_Toc143775526" w:history="1">
        <w:r w:rsidRPr="005033E3">
          <w:rPr>
            <w:rStyle w:val="Hyperlink"/>
            <w:noProof/>
          </w:rPr>
          <w:t>Joonis 11. Eesti majanduse ilmakaart</w:t>
        </w:r>
        <w:r>
          <w:rPr>
            <w:noProof/>
            <w:webHidden/>
          </w:rPr>
          <w:tab/>
        </w:r>
        <w:r>
          <w:rPr>
            <w:noProof/>
            <w:webHidden/>
          </w:rPr>
          <w:fldChar w:fldCharType="begin"/>
        </w:r>
        <w:r>
          <w:rPr>
            <w:noProof/>
            <w:webHidden/>
          </w:rPr>
          <w:instrText xml:space="preserve"> PAGEREF _Toc143775526 \h </w:instrText>
        </w:r>
        <w:r>
          <w:rPr>
            <w:noProof/>
            <w:webHidden/>
          </w:rPr>
        </w:r>
        <w:r>
          <w:rPr>
            <w:noProof/>
            <w:webHidden/>
          </w:rPr>
          <w:fldChar w:fldCharType="separate"/>
        </w:r>
        <w:r>
          <w:rPr>
            <w:noProof/>
            <w:webHidden/>
          </w:rPr>
          <w:t>16</w:t>
        </w:r>
        <w:r>
          <w:rPr>
            <w:noProof/>
            <w:webHidden/>
          </w:rPr>
          <w:fldChar w:fldCharType="end"/>
        </w:r>
      </w:hyperlink>
    </w:p>
    <w:p w14:paraId="70158428" w14:textId="32DA0B62" w:rsidR="001423CD" w:rsidRDefault="001423CD">
      <w:pPr>
        <w:pStyle w:val="TableofFigures"/>
        <w:tabs>
          <w:tab w:val="right" w:leader="dot" w:pos="9968"/>
        </w:tabs>
        <w:rPr>
          <w:rFonts w:asciiTheme="minorHAnsi" w:eastAsiaTheme="minorEastAsia" w:hAnsiTheme="minorHAnsi"/>
          <w:noProof/>
          <w:lang w:eastAsia="et-EE"/>
        </w:rPr>
      </w:pPr>
      <w:hyperlink w:anchor="_Toc143775527" w:history="1">
        <w:r w:rsidRPr="005033E3">
          <w:rPr>
            <w:rStyle w:val="Hyperlink"/>
            <w:noProof/>
          </w:rPr>
          <w:t>Joonis 12. Nominaalne eelarvepositsioon (%SKP)</w:t>
        </w:r>
        <w:r>
          <w:rPr>
            <w:noProof/>
            <w:webHidden/>
          </w:rPr>
          <w:tab/>
        </w:r>
        <w:r>
          <w:rPr>
            <w:noProof/>
            <w:webHidden/>
          </w:rPr>
          <w:fldChar w:fldCharType="begin"/>
        </w:r>
        <w:r>
          <w:rPr>
            <w:noProof/>
            <w:webHidden/>
          </w:rPr>
          <w:instrText xml:space="preserve"> PAGEREF _Toc143775527 \h </w:instrText>
        </w:r>
        <w:r>
          <w:rPr>
            <w:noProof/>
            <w:webHidden/>
          </w:rPr>
        </w:r>
        <w:r>
          <w:rPr>
            <w:noProof/>
            <w:webHidden/>
          </w:rPr>
          <w:fldChar w:fldCharType="separate"/>
        </w:r>
        <w:r>
          <w:rPr>
            <w:noProof/>
            <w:webHidden/>
          </w:rPr>
          <w:t>18</w:t>
        </w:r>
        <w:r>
          <w:rPr>
            <w:noProof/>
            <w:webHidden/>
          </w:rPr>
          <w:fldChar w:fldCharType="end"/>
        </w:r>
      </w:hyperlink>
    </w:p>
    <w:p w14:paraId="047BF2C6" w14:textId="6E1F7A0E" w:rsidR="001423CD" w:rsidRDefault="001423CD">
      <w:pPr>
        <w:pStyle w:val="TableofFigures"/>
        <w:tabs>
          <w:tab w:val="right" w:leader="dot" w:pos="9968"/>
        </w:tabs>
        <w:rPr>
          <w:rFonts w:asciiTheme="minorHAnsi" w:eastAsiaTheme="minorEastAsia" w:hAnsiTheme="minorHAnsi"/>
          <w:noProof/>
          <w:lang w:eastAsia="et-EE"/>
        </w:rPr>
      </w:pPr>
      <w:hyperlink w:anchor="_Toc143775528" w:history="1">
        <w:r w:rsidRPr="005033E3">
          <w:rPr>
            <w:rStyle w:val="Hyperlink"/>
            <w:noProof/>
          </w:rPr>
          <w:t>Joonis 13. Struktuurne eelarvepositsioon ja SKP lõhe (% SKPst)</w:t>
        </w:r>
        <w:r>
          <w:rPr>
            <w:noProof/>
            <w:webHidden/>
          </w:rPr>
          <w:tab/>
        </w:r>
        <w:r>
          <w:rPr>
            <w:noProof/>
            <w:webHidden/>
          </w:rPr>
          <w:fldChar w:fldCharType="begin"/>
        </w:r>
        <w:r>
          <w:rPr>
            <w:noProof/>
            <w:webHidden/>
          </w:rPr>
          <w:instrText xml:space="preserve"> PAGEREF _Toc143775528 \h </w:instrText>
        </w:r>
        <w:r>
          <w:rPr>
            <w:noProof/>
            <w:webHidden/>
          </w:rPr>
        </w:r>
        <w:r>
          <w:rPr>
            <w:noProof/>
            <w:webHidden/>
          </w:rPr>
          <w:fldChar w:fldCharType="separate"/>
        </w:r>
        <w:r>
          <w:rPr>
            <w:noProof/>
            <w:webHidden/>
          </w:rPr>
          <w:t>18</w:t>
        </w:r>
        <w:r>
          <w:rPr>
            <w:noProof/>
            <w:webHidden/>
          </w:rPr>
          <w:fldChar w:fldCharType="end"/>
        </w:r>
      </w:hyperlink>
    </w:p>
    <w:p w14:paraId="221D57F2" w14:textId="4ABD7C03" w:rsidR="001423CD" w:rsidRDefault="001423CD">
      <w:pPr>
        <w:pStyle w:val="TableofFigures"/>
        <w:tabs>
          <w:tab w:val="right" w:leader="dot" w:pos="9968"/>
        </w:tabs>
        <w:rPr>
          <w:rFonts w:asciiTheme="minorHAnsi" w:eastAsiaTheme="minorEastAsia" w:hAnsiTheme="minorHAnsi"/>
          <w:noProof/>
          <w:lang w:eastAsia="et-EE"/>
        </w:rPr>
      </w:pPr>
      <w:hyperlink w:anchor="_Toc143775529" w:history="1">
        <w:r w:rsidRPr="005033E3">
          <w:rPr>
            <w:rStyle w:val="Hyperlink"/>
            <w:noProof/>
          </w:rPr>
          <w:t>Joonis 14. Riigieelarvesse laekuv füüsilise isiku tulumaks (mln eurot)</w:t>
        </w:r>
        <w:r>
          <w:rPr>
            <w:noProof/>
            <w:webHidden/>
          </w:rPr>
          <w:tab/>
        </w:r>
        <w:r>
          <w:rPr>
            <w:noProof/>
            <w:webHidden/>
          </w:rPr>
          <w:fldChar w:fldCharType="begin"/>
        </w:r>
        <w:r>
          <w:rPr>
            <w:noProof/>
            <w:webHidden/>
          </w:rPr>
          <w:instrText xml:space="preserve"> PAGEREF _Toc143775529 \h </w:instrText>
        </w:r>
        <w:r>
          <w:rPr>
            <w:noProof/>
            <w:webHidden/>
          </w:rPr>
        </w:r>
        <w:r>
          <w:rPr>
            <w:noProof/>
            <w:webHidden/>
          </w:rPr>
          <w:fldChar w:fldCharType="separate"/>
        </w:r>
        <w:r>
          <w:rPr>
            <w:noProof/>
            <w:webHidden/>
          </w:rPr>
          <w:t>20</w:t>
        </w:r>
        <w:r>
          <w:rPr>
            <w:noProof/>
            <w:webHidden/>
          </w:rPr>
          <w:fldChar w:fldCharType="end"/>
        </w:r>
      </w:hyperlink>
    </w:p>
    <w:p w14:paraId="5AC3935D" w14:textId="4E45D237" w:rsidR="001423CD" w:rsidRDefault="001423CD">
      <w:pPr>
        <w:pStyle w:val="TableofFigures"/>
        <w:tabs>
          <w:tab w:val="right" w:leader="dot" w:pos="9968"/>
        </w:tabs>
        <w:rPr>
          <w:rFonts w:asciiTheme="minorHAnsi" w:eastAsiaTheme="minorEastAsia" w:hAnsiTheme="minorHAnsi"/>
          <w:noProof/>
          <w:lang w:eastAsia="et-EE"/>
        </w:rPr>
      </w:pPr>
      <w:hyperlink w:anchor="_Toc143775530" w:history="1">
        <w:r w:rsidRPr="005033E3">
          <w:rPr>
            <w:rStyle w:val="Hyperlink"/>
            <w:noProof/>
          </w:rPr>
          <w:t>Joonis 15. Maksukoormus koos ja ilma uute maksumuudatusteta (% SKPst)</w:t>
        </w:r>
        <w:r>
          <w:rPr>
            <w:noProof/>
            <w:webHidden/>
          </w:rPr>
          <w:tab/>
        </w:r>
        <w:r>
          <w:rPr>
            <w:noProof/>
            <w:webHidden/>
          </w:rPr>
          <w:fldChar w:fldCharType="begin"/>
        </w:r>
        <w:r>
          <w:rPr>
            <w:noProof/>
            <w:webHidden/>
          </w:rPr>
          <w:instrText xml:space="preserve"> PAGEREF _Toc143775530 \h </w:instrText>
        </w:r>
        <w:r>
          <w:rPr>
            <w:noProof/>
            <w:webHidden/>
          </w:rPr>
        </w:r>
        <w:r>
          <w:rPr>
            <w:noProof/>
            <w:webHidden/>
          </w:rPr>
          <w:fldChar w:fldCharType="separate"/>
        </w:r>
        <w:r>
          <w:rPr>
            <w:noProof/>
            <w:webHidden/>
          </w:rPr>
          <w:t>23</w:t>
        </w:r>
        <w:r>
          <w:rPr>
            <w:noProof/>
            <w:webHidden/>
          </w:rPr>
          <w:fldChar w:fldCharType="end"/>
        </w:r>
      </w:hyperlink>
    </w:p>
    <w:p w14:paraId="1BF93652" w14:textId="3CA0FA45" w:rsidR="001423CD" w:rsidRDefault="001423CD">
      <w:pPr>
        <w:pStyle w:val="TableofFigures"/>
        <w:tabs>
          <w:tab w:val="right" w:leader="dot" w:pos="9968"/>
        </w:tabs>
        <w:rPr>
          <w:rFonts w:asciiTheme="minorHAnsi" w:eastAsiaTheme="minorEastAsia" w:hAnsiTheme="minorHAnsi"/>
          <w:noProof/>
          <w:lang w:eastAsia="et-EE"/>
        </w:rPr>
      </w:pPr>
      <w:hyperlink w:anchor="_Toc143775531" w:history="1">
        <w:r w:rsidRPr="005033E3">
          <w:rPr>
            <w:rStyle w:val="Hyperlink"/>
            <w:noProof/>
          </w:rPr>
          <w:t>Joonis 16. Tööjõu efektiivne maksumäär (% maksubaasist)</w:t>
        </w:r>
        <w:r>
          <w:rPr>
            <w:noProof/>
            <w:webHidden/>
          </w:rPr>
          <w:tab/>
        </w:r>
        <w:r>
          <w:rPr>
            <w:noProof/>
            <w:webHidden/>
          </w:rPr>
          <w:fldChar w:fldCharType="begin"/>
        </w:r>
        <w:r>
          <w:rPr>
            <w:noProof/>
            <w:webHidden/>
          </w:rPr>
          <w:instrText xml:space="preserve"> PAGEREF _Toc143775531 \h </w:instrText>
        </w:r>
        <w:r>
          <w:rPr>
            <w:noProof/>
            <w:webHidden/>
          </w:rPr>
        </w:r>
        <w:r>
          <w:rPr>
            <w:noProof/>
            <w:webHidden/>
          </w:rPr>
          <w:fldChar w:fldCharType="separate"/>
        </w:r>
        <w:r>
          <w:rPr>
            <w:noProof/>
            <w:webHidden/>
          </w:rPr>
          <w:t>24</w:t>
        </w:r>
        <w:r>
          <w:rPr>
            <w:noProof/>
            <w:webHidden/>
          </w:rPr>
          <w:fldChar w:fldCharType="end"/>
        </w:r>
      </w:hyperlink>
    </w:p>
    <w:p w14:paraId="42A5B1F8" w14:textId="08DCB0DB" w:rsidR="001423CD" w:rsidRDefault="001423CD">
      <w:pPr>
        <w:pStyle w:val="TableofFigures"/>
        <w:tabs>
          <w:tab w:val="right" w:leader="dot" w:pos="9968"/>
        </w:tabs>
        <w:rPr>
          <w:rFonts w:asciiTheme="minorHAnsi" w:eastAsiaTheme="minorEastAsia" w:hAnsiTheme="minorHAnsi"/>
          <w:noProof/>
          <w:lang w:eastAsia="et-EE"/>
        </w:rPr>
      </w:pPr>
      <w:hyperlink w:anchor="_Toc143775532" w:history="1">
        <w:r w:rsidRPr="005033E3">
          <w:rPr>
            <w:rStyle w:val="Hyperlink"/>
            <w:noProof/>
          </w:rPr>
          <w:t>Joonis 17. Valitsussektori kogukulud (% SKPs) ja kulude aastane muutus</w:t>
        </w:r>
        <w:r>
          <w:rPr>
            <w:noProof/>
            <w:webHidden/>
          </w:rPr>
          <w:tab/>
        </w:r>
        <w:r>
          <w:rPr>
            <w:noProof/>
            <w:webHidden/>
          </w:rPr>
          <w:fldChar w:fldCharType="begin"/>
        </w:r>
        <w:r>
          <w:rPr>
            <w:noProof/>
            <w:webHidden/>
          </w:rPr>
          <w:instrText xml:space="preserve"> PAGEREF _Toc143775532 \h </w:instrText>
        </w:r>
        <w:r>
          <w:rPr>
            <w:noProof/>
            <w:webHidden/>
          </w:rPr>
        </w:r>
        <w:r>
          <w:rPr>
            <w:noProof/>
            <w:webHidden/>
          </w:rPr>
          <w:fldChar w:fldCharType="separate"/>
        </w:r>
        <w:r>
          <w:rPr>
            <w:noProof/>
            <w:webHidden/>
          </w:rPr>
          <w:t>26</w:t>
        </w:r>
        <w:r>
          <w:rPr>
            <w:noProof/>
            <w:webHidden/>
          </w:rPr>
          <w:fldChar w:fldCharType="end"/>
        </w:r>
      </w:hyperlink>
    </w:p>
    <w:p w14:paraId="69A94A30" w14:textId="1F2A6C0A" w:rsidR="001423CD" w:rsidRDefault="001423CD">
      <w:pPr>
        <w:pStyle w:val="TableofFigures"/>
        <w:tabs>
          <w:tab w:val="right" w:leader="dot" w:pos="9968"/>
        </w:tabs>
        <w:rPr>
          <w:rFonts w:asciiTheme="minorHAnsi" w:eastAsiaTheme="minorEastAsia" w:hAnsiTheme="minorHAnsi"/>
          <w:noProof/>
          <w:lang w:eastAsia="et-EE"/>
        </w:rPr>
      </w:pPr>
      <w:hyperlink w:anchor="_Toc143775533" w:history="1">
        <w:r w:rsidRPr="005033E3">
          <w:rPr>
            <w:rStyle w:val="Hyperlink"/>
            <w:noProof/>
          </w:rPr>
          <w:t>Joonis 18. Valitsussektori põhivarainvesteeringud 2001-2027 (%SKPs)</w:t>
        </w:r>
        <w:r>
          <w:rPr>
            <w:noProof/>
            <w:webHidden/>
          </w:rPr>
          <w:tab/>
        </w:r>
        <w:r>
          <w:rPr>
            <w:noProof/>
            <w:webHidden/>
          </w:rPr>
          <w:fldChar w:fldCharType="begin"/>
        </w:r>
        <w:r>
          <w:rPr>
            <w:noProof/>
            <w:webHidden/>
          </w:rPr>
          <w:instrText xml:space="preserve"> PAGEREF _Toc143775533 \h </w:instrText>
        </w:r>
        <w:r>
          <w:rPr>
            <w:noProof/>
            <w:webHidden/>
          </w:rPr>
        </w:r>
        <w:r>
          <w:rPr>
            <w:noProof/>
            <w:webHidden/>
          </w:rPr>
          <w:fldChar w:fldCharType="separate"/>
        </w:r>
        <w:r>
          <w:rPr>
            <w:noProof/>
            <w:webHidden/>
          </w:rPr>
          <w:t>27</w:t>
        </w:r>
        <w:r>
          <w:rPr>
            <w:noProof/>
            <w:webHidden/>
          </w:rPr>
          <w:fldChar w:fldCharType="end"/>
        </w:r>
      </w:hyperlink>
    </w:p>
    <w:p w14:paraId="1E8FFE23" w14:textId="79B6712C" w:rsidR="001423CD" w:rsidRDefault="001423CD">
      <w:pPr>
        <w:pStyle w:val="TableofFigures"/>
        <w:tabs>
          <w:tab w:val="right" w:leader="dot" w:pos="9968"/>
        </w:tabs>
        <w:rPr>
          <w:rFonts w:asciiTheme="minorHAnsi" w:eastAsiaTheme="minorEastAsia" w:hAnsiTheme="minorHAnsi"/>
          <w:noProof/>
          <w:lang w:eastAsia="et-EE"/>
        </w:rPr>
      </w:pPr>
      <w:hyperlink w:anchor="_Toc143775534" w:history="1">
        <w:r w:rsidRPr="005033E3">
          <w:rPr>
            <w:rStyle w:val="Hyperlink"/>
            <w:noProof/>
          </w:rPr>
          <w:t>Joonis 19. Maksukulu (mln eurot ja % SKPst)</w:t>
        </w:r>
        <w:r>
          <w:rPr>
            <w:noProof/>
            <w:webHidden/>
          </w:rPr>
          <w:tab/>
        </w:r>
        <w:r>
          <w:rPr>
            <w:noProof/>
            <w:webHidden/>
          </w:rPr>
          <w:fldChar w:fldCharType="begin"/>
        </w:r>
        <w:r>
          <w:rPr>
            <w:noProof/>
            <w:webHidden/>
          </w:rPr>
          <w:instrText xml:space="preserve"> PAGEREF _Toc143775534 \h </w:instrText>
        </w:r>
        <w:r>
          <w:rPr>
            <w:noProof/>
            <w:webHidden/>
          </w:rPr>
        </w:r>
        <w:r>
          <w:rPr>
            <w:noProof/>
            <w:webHidden/>
          </w:rPr>
          <w:fldChar w:fldCharType="separate"/>
        </w:r>
        <w:r>
          <w:rPr>
            <w:noProof/>
            <w:webHidden/>
          </w:rPr>
          <w:t>30</w:t>
        </w:r>
        <w:r>
          <w:rPr>
            <w:noProof/>
            <w:webHidden/>
          </w:rPr>
          <w:fldChar w:fldCharType="end"/>
        </w:r>
      </w:hyperlink>
    </w:p>
    <w:p w14:paraId="1515515F" w14:textId="1D4CB313" w:rsidR="001423CD" w:rsidRDefault="001423CD">
      <w:pPr>
        <w:pStyle w:val="TableofFigures"/>
        <w:tabs>
          <w:tab w:val="right" w:leader="dot" w:pos="9968"/>
        </w:tabs>
        <w:rPr>
          <w:rFonts w:asciiTheme="minorHAnsi" w:eastAsiaTheme="minorEastAsia" w:hAnsiTheme="minorHAnsi"/>
          <w:noProof/>
          <w:lang w:eastAsia="et-EE"/>
        </w:rPr>
      </w:pPr>
      <w:hyperlink w:anchor="_Toc143775535" w:history="1">
        <w:r w:rsidRPr="005033E3">
          <w:rPr>
            <w:rStyle w:val="Hyperlink"/>
            <w:noProof/>
          </w:rPr>
          <w:t>Joonis 20. Valitsussektori likviidsed varad, võlakoormus ja netopositsioon (% SKPst)</w:t>
        </w:r>
        <w:r>
          <w:rPr>
            <w:noProof/>
            <w:webHidden/>
          </w:rPr>
          <w:tab/>
        </w:r>
        <w:r>
          <w:rPr>
            <w:noProof/>
            <w:webHidden/>
          </w:rPr>
          <w:fldChar w:fldCharType="begin"/>
        </w:r>
        <w:r>
          <w:rPr>
            <w:noProof/>
            <w:webHidden/>
          </w:rPr>
          <w:instrText xml:space="preserve"> PAGEREF _Toc143775535 \h </w:instrText>
        </w:r>
        <w:r>
          <w:rPr>
            <w:noProof/>
            <w:webHidden/>
          </w:rPr>
        </w:r>
        <w:r>
          <w:rPr>
            <w:noProof/>
            <w:webHidden/>
          </w:rPr>
          <w:fldChar w:fldCharType="separate"/>
        </w:r>
        <w:r>
          <w:rPr>
            <w:noProof/>
            <w:webHidden/>
          </w:rPr>
          <w:t>31</w:t>
        </w:r>
        <w:r>
          <w:rPr>
            <w:noProof/>
            <w:webHidden/>
          </w:rPr>
          <w:fldChar w:fldCharType="end"/>
        </w:r>
      </w:hyperlink>
    </w:p>
    <w:p w14:paraId="6DDF5604" w14:textId="2BC36595" w:rsidR="001423CD" w:rsidRDefault="001423CD">
      <w:pPr>
        <w:pStyle w:val="TableofFigures"/>
        <w:tabs>
          <w:tab w:val="right" w:leader="dot" w:pos="9968"/>
        </w:tabs>
        <w:rPr>
          <w:rFonts w:asciiTheme="minorHAnsi" w:eastAsiaTheme="minorEastAsia" w:hAnsiTheme="minorHAnsi"/>
          <w:noProof/>
          <w:lang w:eastAsia="et-EE"/>
        </w:rPr>
      </w:pPr>
      <w:hyperlink w:anchor="_Toc143775536" w:history="1">
        <w:r w:rsidRPr="005033E3">
          <w:rPr>
            <w:rStyle w:val="Hyperlink"/>
            <w:noProof/>
          </w:rPr>
          <w:t>Joonis 21. Keskvalitsuse võla tagasimaksed</w:t>
        </w:r>
        <w:r>
          <w:rPr>
            <w:noProof/>
            <w:webHidden/>
          </w:rPr>
          <w:tab/>
        </w:r>
        <w:r>
          <w:rPr>
            <w:noProof/>
            <w:webHidden/>
          </w:rPr>
          <w:fldChar w:fldCharType="begin"/>
        </w:r>
        <w:r>
          <w:rPr>
            <w:noProof/>
            <w:webHidden/>
          </w:rPr>
          <w:instrText xml:space="preserve"> PAGEREF _Toc143775536 \h </w:instrText>
        </w:r>
        <w:r>
          <w:rPr>
            <w:noProof/>
            <w:webHidden/>
          </w:rPr>
        </w:r>
        <w:r>
          <w:rPr>
            <w:noProof/>
            <w:webHidden/>
          </w:rPr>
          <w:fldChar w:fldCharType="separate"/>
        </w:r>
        <w:r>
          <w:rPr>
            <w:noProof/>
            <w:webHidden/>
          </w:rPr>
          <w:t>31</w:t>
        </w:r>
        <w:r>
          <w:rPr>
            <w:noProof/>
            <w:webHidden/>
          </w:rPr>
          <w:fldChar w:fldCharType="end"/>
        </w:r>
      </w:hyperlink>
    </w:p>
    <w:p w14:paraId="2BF3D39C" w14:textId="39577918" w:rsidR="001423CD" w:rsidRDefault="001423CD">
      <w:pPr>
        <w:pStyle w:val="TableofFigures"/>
        <w:tabs>
          <w:tab w:val="right" w:leader="dot" w:pos="9968"/>
        </w:tabs>
        <w:rPr>
          <w:rFonts w:asciiTheme="minorHAnsi" w:eastAsiaTheme="minorEastAsia" w:hAnsiTheme="minorHAnsi"/>
          <w:noProof/>
          <w:lang w:eastAsia="et-EE"/>
        </w:rPr>
      </w:pPr>
      <w:hyperlink w:anchor="_Toc143775537" w:history="1">
        <w:r w:rsidRPr="005033E3">
          <w:rPr>
            <w:rStyle w:val="Hyperlink"/>
            <w:noProof/>
          </w:rPr>
          <w:t>Joonis 22. Majanduse reaalkasv, negatiivne riskistsenaarium (%)</w:t>
        </w:r>
        <w:r>
          <w:rPr>
            <w:noProof/>
            <w:webHidden/>
          </w:rPr>
          <w:tab/>
        </w:r>
        <w:r>
          <w:rPr>
            <w:noProof/>
            <w:webHidden/>
          </w:rPr>
          <w:fldChar w:fldCharType="begin"/>
        </w:r>
        <w:r>
          <w:rPr>
            <w:noProof/>
            <w:webHidden/>
          </w:rPr>
          <w:instrText xml:space="preserve"> PAGEREF _Toc143775537 \h </w:instrText>
        </w:r>
        <w:r>
          <w:rPr>
            <w:noProof/>
            <w:webHidden/>
          </w:rPr>
        </w:r>
        <w:r>
          <w:rPr>
            <w:noProof/>
            <w:webHidden/>
          </w:rPr>
          <w:fldChar w:fldCharType="separate"/>
        </w:r>
        <w:r>
          <w:rPr>
            <w:noProof/>
            <w:webHidden/>
          </w:rPr>
          <w:t>33</w:t>
        </w:r>
        <w:r>
          <w:rPr>
            <w:noProof/>
            <w:webHidden/>
          </w:rPr>
          <w:fldChar w:fldCharType="end"/>
        </w:r>
      </w:hyperlink>
    </w:p>
    <w:p w14:paraId="4409E0C3" w14:textId="3C0D202D" w:rsidR="001423CD" w:rsidRDefault="001423CD">
      <w:pPr>
        <w:pStyle w:val="TableofFigures"/>
        <w:tabs>
          <w:tab w:val="right" w:leader="dot" w:pos="9968"/>
        </w:tabs>
        <w:rPr>
          <w:rFonts w:asciiTheme="minorHAnsi" w:eastAsiaTheme="minorEastAsia" w:hAnsiTheme="minorHAnsi"/>
          <w:noProof/>
          <w:lang w:eastAsia="et-EE"/>
        </w:rPr>
      </w:pPr>
      <w:hyperlink w:anchor="_Toc143775538" w:history="1">
        <w:r w:rsidRPr="005033E3">
          <w:rPr>
            <w:rStyle w:val="Hyperlink"/>
            <w:noProof/>
          </w:rPr>
          <w:t>Joonis 23. Koalitsioonileppe meetmete mõju eelarvepositsioonile (mln EUR)</w:t>
        </w:r>
        <w:r>
          <w:rPr>
            <w:noProof/>
            <w:webHidden/>
          </w:rPr>
          <w:tab/>
        </w:r>
        <w:r>
          <w:rPr>
            <w:noProof/>
            <w:webHidden/>
          </w:rPr>
          <w:fldChar w:fldCharType="begin"/>
        </w:r>
        <w:r>
          <w:rPr>
            <w:noProof/>
            <w:webHidden/>
          </w:rPr>
          <w:instrText xml:space="preserve"> PAGEREF _Toc143775538 \h </w:instrText>
        </w:r>
        <w:r>
          <w:rPr>
            <w:noProof/>
            <w:webHidden/>
          </w:rPr>
        </w:r>
        <w:r>
          <w:rPr>
            <w:noProof/>
            <w:webHidden/>
          </w:rPr>
          <w:fldChar w:fldCharType="separate"/>
        </w:r>
        <w:r>
          <w:rPr>
            <w:noProof/>
            <w:webHidden/>
          </w:rPr>
          <w:t>38</w:t>
        </w:r>
        <w:r>
          <w:rPr>
            <w:noProof/>
            <w:webHidden/>
          </w:rPr>
          <w:fldChar w:fldCharType="end"/>
        </w:r>
      </w:hyperlink>
    </w:p>
    <w:p w14:paraId="4A00718E" w14:textId="782A618B" w:rsidR="001423CD" w:rsidRDefault="001423CD">
      <w:pPr>
        <w:pStyle w:val="TableofFigures"/>
        <w:tabs>
          <w:tab w:val="right" w:leader="dot" w:pos="9968"/>
        </w:tabs>
        <w:rPr>
          <w:rFonts w:asciiTheme="minorHAnsi" w:eastAsiaTheme="minorEastAsia" w:hAnsiTheme="minorHAnsi"/>
          <w:noProof/>
          <w:lang w:eastAsia="et-EE"/>
        </w:rPr>
      </w:pPr>
      <w:hyperlink w:anchor="_Toc143775539" w:history="1">
        <w:r w:rsidRPr="005033E3">
          <w:rPr>
            <w:rStyle w:val="Hyperlink"/>
            <w:noProof/>
          </w:rPr>
          <w:t>Joonis 24. Valitsussektori kulutused Euroopa Liidu riikides 2022. aastal (% SKPst)</w:t>
        </w:r>
        <w:r>
          <w:rPr>
            <w:noProof/>
            <w:webHidden/>
          </w:rPr>
          <w:tab/>
        </w:r>
        <w:r>
          <w:rPr>
            <w:noProof/>
            <w:webHidden/>
          </w:rPr>
          <w:fldChar w:fldCharType="begin"/>
        </w:r>
        <w:r>
          <w:rPr>
            <w:noProof/>
            <w:webHidden/>
          </w:rPr>
          <w:instrText xml:space="preserve"> PAGEREF _Toc143775539 \h </w:instrText>
        </w:r>
        <w:r>
          <w:rPr>
            <w:noProof/>
            <w:webHidden/>
          </w:rPr>
        </w:r>
        <w:r>
          <w:rPr>
            <w:noProof/>
            <w:webHidden/>
          </w:rPr>
          <w:fldChar w:fldCharType="separate"/>
        </w:r>
        <w:r>
          <w:rPr>
            <w:noProof/>
            <w:webHidden/>
          </w:rPr>
          <w:t>51</w:t>
        </w:r>
        <w:r>
          <w:rPr>
            <w:noProof/>
            <w:webHidden/>
          </w:rPr>
          <w:fldChar w:fldCharType="end"/>
        </w:r>
      </w:hyperlink>
    </w:p>
    <w:p w14:paraId="0E1130D3" w14:textId="0E95BF28" w:rsidR="001423CD" w:rsidRDefault="001423CD">
      <w:pPr>
        <w:pStyle w:val="TableofFigures"/>
        <w:tabs>
          <w:tab w:val="right" w:leader="dot" w:pos="9968"/>
        </w:tabs>
        <w:rPr>
          <w:rFonts w:asciiTheme="minorHAnsi" w:eastAsiaTheme="minorEastAsia" w:hAnsiTheme="minorHAnsi"/>
          <w:noProof/>
          <w:lang w:eastAsia="et-EE"/>
        </w:rPr>
      </w:pPr>
      <w:hyperlink w:anchor="_Toc143775540" w:history="1">
        <w:r w:rsidRPr="005033E3">
          <w:rPr>
            <w:rStyle w:val="Hyperlink"/>
            <w:noProof/>
          </w:rPr>
          <w:t>Joonis 25. Valitsussektori kulud valitsemisfunktsiooni järgi Eestis (% SKPst)</w:t>
        </w:r>
        <w:r>
          <w:rPr>
            <w:noProof/>
            <w:webHidden/>
          </w:rPr>
          <w:tab/>
        </w:r>
        <w:r>
          <w:rPr>
            <w:noProof/>
            <w:webHidden/>
          </w:rPr>
          <w:fldChar w:fldCharType="begin"/>
        </w:r>
        <w:r>
          <w:rPr>
            <w:noProof/>
            <w:webHidden/>
          </w:rPr>
          <w:instrText xml:space="preserve"> PAGEREF _Toc143775540 \h </w:instrText>
        </w:r>
        <w:r>
          <w:rPr>
            <w:noProof/>
            <w:webHidden/>
          </w:rPr>
        </w:r>
        <w:r>
          <w:rPr>
            <w:noProof/>
            <w:webHidden/>
          </w:rPr>
          <w:fldChar w:fldCharType="separate"/>
        </w:r>
        <w:r>
          <w:rPr>
            <w:noProof/>
            <w:webHidden/>
          </w:rPr>
          <w:t>51</w:t>
        </w:r>
        <w:r>
          <w:rPr>
            <w:noProof/>
            <w:webHidden/>
          </w:rPr>
          <w:fldChar w:fldCharType="end"/>
        </w:r>
      </w:hyperlink>
    </w:p>
    <w:p w14:paraId="448AD922" w14:textId="3BC83195" w:rsidR="001423CD" w:rsidRDefault="001423CD">
      <w:pPr>
        <w:pStyle w:val="TableofFigures"/>
        <w:tabs>
          <w:tab w:val="right" w:leader="dot" w:pos="9968"/>
        </w:tabs>
        <w:rPr>
          <w:rFonts w:asciiTheme="minorHAnsi" w:eastAsiaTheme="minorEastAsia" w:hAnsiTheme="minorHAnsi"/>
          <w:noProof/>
          <w:lang w:eastAsia="et-EE"/>
        </w:rPr>
      </w:pPr>
      <w:hyperlink w:anchor="_Toc143775541" w:history="1">
        <w:r w:rsidRPr="005033E3">
          <w:rPr>
            <w:rStyle w:val="Hyperlink"/>
            <w:noProof/>
          </w:rPr>
          <w:t>Joonis 26. Stabiliseerimis- ja likviidsusreservi maht ning tulusus</w:t>
        </w:r>
        <w:r>
          <w:rPr>
            <w:noProof/>
            <w:webHidden/>
          </w:rPr>
          <w:tab/>
        </w:r>
        <w:r>
          <w:rPr>
            <w:noProof/>
            <w:webHidden/>
          </w:rPr>
          <w:fldChar w:fldCharType="begin"/>
        </w:r>
        <w:r>
          <w:rPr>
            <w:noProof/>
            <w:webHidden/>
          </w:rPr>
          <w:instrText xml:space="preserve"> PAGEREF _Toc143775541 \h </w:instrText>
        </w:r>
        <w:r>
          <w:rPr>
            <w:noProof/>
            <w:webHidden/>
          </w:rPr>
        </w:r>
        <w:r>
          <w:rPr>
            <w:noProof/>
            <w:webHidden/>
          </w:rPr>
          <w:fldChar w:fldCharType="separate"/>
        </w:r>
        <w:r>
          <w:rPr>
            <w:noProof/>
            <w:webHidden/>
          </w:rPr>
          <w:t>52</w:t>
        </w:r>
        <w:r>
          <w:rPr>
            <w:noProof/>
            <w:webHidden/>
          </w:rPr>
          <w:fldChar w:fldCharType="end"/>
        </w:r>
      </w:hyperlink>
    </w:p>
    <w:p w14:paraId="09AAFE28" w14:textId="1DB8B5F6" w:rsidR="00022D9C" w:rsidRPr="00414819" w:rsidRDefault="00177B6A" w:rsidP="00D84B51">
      <w:pPr>
        <w:pStyle w:val="Phitekst"/>
        <w:spacing w:after="0"/>
        <w:rPr>
          <w:highlight w:val="yellow"/>
        </w:rPr>
      </w:pPr>
      <w:r w:rsidRPr="00414819">
        <w:rPr>
          <w:highlight w:val="yellow"/>
        </w:rPr>
        <w:fldChar w:fldCharType="end"/>
      </w:r>
      <w:r w:rsidR="00022D9C" w:rsidRPr="00414819">
        <w:rPr>
          <w:highlight w:val="yellow"/>
        </w:rPr>
        <w:br w:type="page"/>
      </w:r>
    </w:p>
    <w:p w14:paraId="2CF759B9" w14:textId="77777777" w:rsidR="00022D9C" w:rsidRPr="00414819" w:rsidRDefault="00022D9C" w:rsidP="00022D9C">
      <w:pPr>
        <w:pStyle w:val="Phitekst"/>
        <w:spacing w:after="0"/>
        <w:rPr>
          <w:highlight w:val="yellow"/>
        </w:rPr>
      </w:pPr>
    </w:p>
    <w:p w14:paraId="3533A45B" w14:textId="45A1BF49" w:rsidR="00BF294D" w:rsidRPr="00D84B51" w:rsidRDefault="00FD6AFF" w:rsidP="00E66452">
      <w:pPr>
        <w:pStyle w:val="Numbritapealkiri"/>
      </w:pPr>
      <w:bookmarkStart w:id="13" w:name="_Toc64844919"/>
      <w:bookmarkStart w:id="14" w:name="_Toc64847871"/>
      <w:bookmarkStart w:id="15" w:name="_Toc64848904"/>
      <w:bookmarkStart w:id="16" w:name="_Toc143775491"/>
      <w:r w:rsidRPr="00D84B51">
        <w:t>TABELID</w:t>
      </w:r>
      <w:bookmarkEnd w:id="13"/>
      <w:bookmarkEnd w:id="14"/>
      <w:bookmarkEnd w:id="15"/>
      <w:bookmarkEnd w:id="16"/>
    </w:p>
    <w:p w14:paraId="4BB178DB" w14:textId="7FBF366D" w:rsidR="001423CD" w:rsidRDefault="00177B6A">
      <w:pPr>
        <w:pStyle w:val="TableofFigures"/>
        <w:tabs>
          <w:tab w:val="right" w:leader="dot" w:pos="9968"/>
        </w:tabs>
        <w:rPr>
          <w:rFonts w:asciiTheme="minorHAnsi" w:eastAsiaTheme="minorEastAsia" w:hAnsiTheme="minorHAnsi"/>
          <w:noProof/>
          <w:lang w:eastAsia="et-EE"/>
        </w:rPr>
      </w:pPr>
      <w:r w:rsidRPr="00414819">
        <w:rPr>
          <w:highlight w:val="yellow"/>
        </w:rPr>
        <w:fldChar w:fldCharType="begin"/>
      </w:r>
      <w:r w:rsidR="00B67FAB" w:rsidRPr="00414819">
        <w:rPr>
          <w:highlight w:val="yellow"/>
        </w:rPr>
        <w:instrText xml:space="preserve"> TOC \h \z \c "Tabel" </w:instrText>
      </w:r>
      <w:r w:rsidRPr="00414819">
        <w:rPr>
          <w:highlight w:val="yellow"/>
        </w:rPr>
        <w:fldChar w:fldCharType="separate"/>
      </w:r>
      <w:hyperlink w:anchor="_Toc143775542" w:history="1">
        <w:r w:rsidR="001423CD" w:rsidRPr="00952F21">
          <w:rPr>
            <w:rStyle w:val="Hyperlink"/>
            <w:noProof/>
          </w:rPr>
          <w:t>Tabel 1. Prognoosi põhinäitajad</w:t>
        </w:r>
        <w:r w:rsidR="001423CD">
          <w:rPr>
            <w:noProof/>
            <w:webHidden/>
          </w:rPr>
          <w:tab/>
        </w:r>
        <w:r w:rsidR="001423CD">
          <w:rPr>
            <w:noProof/>
            <w:webHidden/>
          </w:rPr>
          <w:fldChar w:fldCharType="begin"/>
        </w:r>
        <w:r w:rsidR="001423CD">
          <w:rPr>
            <w:noProof/>
            <w:webHidden/>
          </w:rPr>
          <w:instrText xml:space="preserve"> PAGEREF _Toc143775542 \h </w:instrText>
        </w:r>
        <w:r w:rsidR="001423CD">
          <w:rPr>
            <w:noProof/>
            <w:webHidden/>
          </w:rPr>
        </w:r>
        <w:r w:rsidR="001423CD">
          <w:rPr>
            <w:noProof/>
            <w:webHidden/>
          </w:rPr>
          <w:fldChar w:fldCharType="separate"/>
        </w:r>
        <w:r w:rsidR="001423CD">
          <w:rPr>
            <w:noProof/>
            <w:webHidden/>
          </w:rPr>
          <w:t>6</w:t>
        </w:r>
        <w:r w:rsidR="001423CD">
          <w:rPr>
            <w:noProof/>
            <w:webHidden/>
          </w:rPr>
          <w:fldChar w:fldCharType="end"/>
        </w:r>
      </w:hyperlink>
    </w:p>
    <w:p w14:paraId="727650A9" w14:textId="67C669A0" w:rsidR="001423CD" w:rsidRDefault="001423CD">
      <w:pPr>
        <w:pStyle w:val="TableofFigures"/>
        <w:tabs>
          <w:tab w:val="right" w:leader="dot" w:pos="9968"/>
        </w:tabs>
        <w:rPr>
          <w:rFonts w:asciiTheme="minorHAnsi" w:eastAsiaTheme="minorEastAsia" w:hAnsiTheme="minorHAnsi"/>
          <w:noProof/>
          <w:lang w:eastAsia="et-EE"/>
        </w:rPr>
      </w:pPr>
      <w:hyperlink w:anchor="_Toc143775543" w:history="1">
        <w:r w:rsidRPr="00952F21">
          <w:rPr>
            <w:rStyle w:val="Hyperlink"/>
            <w:noProof/>
          </w:rPr>
          <w:t>Tabel 2. 2020.-2027. aasta riigieelarve tulude areng (mln eurot)</w:t>
        </w:r>
        <w:r>
          <w:rPr>
            <w:noProof/>
            <w:webHidden/>
          </w:rPr>
          <w:tab/>
        </w:r>
        <w:r>
          <w:rPr>
            <w:noProof/>
            <w:webHidden/>
          </w:rPr>
          <w:fldChar w:fldCharType="begin"/>
        </w:r>
        <w:r>
          <w:rPr>
            <w:noProof/>
            <w:webHidden/>
          </w:rPr>
          <w:instrText xml:space="preserve"> PAGEREF _Toc143775543 \h </w:instrText>
        </w:r>
        <w:r>
          <w:rPr>
            <w:noProof/>
            <w:webHidden/>
          </w:rPr>
        </w:r>
        <w:r>
          <w:rPr>
            <w:noProof/>
            <w:webHidden/>
          </w:rPr>
          <w:fldChar w:fldCharType="separate"/>
        </w:r>
        <w:r>
          <w:rPr>
            <w:noProof/>
            <w:webHidden/>
          </w:rPr>
          <w:t>19</w:t>
        </w:r>
        <w:r>
          <w:rPr>
            <w:noProof/>
            <w:webHidden/>
          </w:rPr>
          <w:fldChar w:fldCharType="end"/>
        </w:r>
      </w:hyperlink>
    </w:p>
    <w:p w14:paraId="400151D7" w14:textId="3665BC7B" w:rsidR="001423CD" w:rsidRDefault="001423CD">
      <w:pPr>
        <w:pStyle w:val="TableofFigures"/>
        <w:tabs>
          <w:tab w:val="right" w:leader="dot" w:pos="9968"/>
        </w:tabs>
        <w:rPr>
          <w:rFonts w:asciiTheme="minorHAnsi" w:eastAsiaTheme="minorEastAsia" w:hAnsiTheme="minorHAnsi"/>
          <w:noProof/>
          <w:lang w:eastAsia="et-EE"/>
        </w:rPr>
      </w:pPr>
      <w:hyperlink w:anchor="_Toc143775544" w:history="1">
        <w:r w:rsidRPr="00952F21">
          <w:rPr>
            <w:rStyle w:val="Hyperlink"/>
            <w:noProof/>
          </w:rPr>
          <w:t>Tabel 3. Mittemaksuliste tulude 2023. aasta suvise prognoosi muutus võrreldes 2023. aasta eelarve prognoosiga (mln eurot)</w:t>
        </w:r>
        <w:r>
          <w:rPr>
            <w:noProof/>
            <w:webHidden/>
          </w:rPr>
          <w:tab/>
        </w:r>
        <w:r>
          <w:rPr>
            <w:noProof/>
            <w:webHidden/>
          </w:rPr>
          <w:fldChar w:fldCharType="begin"/>
        </w:r>
        <w:r>
          <w:rPr>
            <w:noProof/>
            <w:webHidden/>
          </w:rPr>
          <w:instrText xml:space="preserve"> PAGEREF _Toc143775544 \h </w:instrText>
        </w:r>
        <w:r>
          <w:rPr>
            <w:noProof/>
            <w:webHidden/>
          </w:rPr>
        </w:r>
        <w:r>
          <w:rPr>
            <w:noProof/>
            <w:webHidden/>
          </w:rPr>
          <w:fldChar w:fldCharType="separate"/>
        </w:r>
        <w:r>
          <w:rPr>
            <w:noProof/>
            <w:webHidden/>
          </w:rPr>
          <w:t>24</w:t>
        </w:r>
        <w:r>
          <w:rPr>
            <w:noProof/>
            <w:webHidden/>
          </w:rPr>
          <w:fldChar w:fldCharType="end"/>
        </w:r>
      </w:hyperlink>
    </w:p>
    <w:p w14:paraId="0DAD750F" w14:textId="1EAEA062" w:rsidR="001423CD" w:rsidRDefault="001423CD">
      <w:pPr>
        <w:pStyle w:val="TableofFigures"/>
        <w:tabs>
          <w:tab w:val="right" w:leader="dot" w:pos="9968"/>
        </w:tabs>
        <w:rPr>
          <w:rFonts w:asciiTheme="minorHAnsi" w:eastAsiaTheme="minorEastAsia" w:hAnsiTheme="minorHAnsi"/>
          <w:noProof/>
          <w:lang w:eastAsia="et-EE"/>
        </w:rPr>
      </w:pPr>
      <w:hyperlink w:anchor="_Toc143775545" w:history="1">
        <w:r w:rsidRPr="00952F21">
          <w:rPr>
            <w:rStyle w:val="Hyperlink"/>
            <w:noProof/>
          </w:rPr>
          <w:t>Tabel 4. Maksumuudatuste kumulatiivne mõju maksukoormusele vastavalt maksu majanduslikule funktsioonile 2023–2027 (% SKPst)</w:t>
        </w:r>
        <w:r>
          <w:rPr>
            <w:noProof/>
            <w:webHidden/>
          </w:rPr>
          <w:tab/>
        </w:r>
        <w:r>
          <w:rPr>
            <w:noProof/>
            <w:webHidden/>
          </w:rPr>
          <w:fldChar w:fldCharType="begin"/>
        </w:r>
        <w:r>
          <w:rPr>
            <w:noProof/>
            <w:webHidden/>
          </w:rPr>
          <w:instrText xml:space="preserve"> PAGEREF _Toc143775545 \h </w:instrText>
        </w:r>
        <w:r>
          <w:rPr>
            <w:noProof/>
            <w:webHidden/>
          </w:rPr>
        </w:r>
        <w:r>
          <w:rPr>
            <w:noProof/>
            <w:webHidden/>
          </w:rPr>
          <w:fldChar w:fldCharType="separate"/>
        </w:r>
        <w:r>
          <w:rPr>
            <w:noProof/>
            <w:webHidden/>
          </w:rPr>
          <w:t>29</w:t>
        </w:r>
        <w:r>
          <w:rPr>
            <w:noProof/>
            <w:webHidden/>
          </w:rPr>
          <w:fldChar w:fldCharType="end"/>
        </w:r>
      </w:hyperlink>
    </w:p>
    <w:p w14:paraId="52706CA8" w14:textId="669C5F8B" w:rsidR="001423CD" w:rsidRDefault="001423CD">
      <w:pPr>
        <w:pStyle w:val="TableofFigures"/>
        <w:tabs>
          <w:tab w:val="right" w:leader="dot" w:pos="9968"/>
        </w:tabs>
        <w:rPr>
          <w:rFonts w:asciiTheme="minorHAnsi" w:eastAsiaTheme="minorEastAsia" w:hAnsiTheme="minorHAnsi"/>
          <w:noProof/>
          <w:lang w:eastAsia="et-EE"/>
        </w:rPr>
      </w:pPr>
      <w:hyperlink w:anchor="_Toc143775546" w:history="1">
        <w:r w:rsidRPr="00952F21">
          <w:rPr>
            <w:rStyle w:val="Hyperlink"/>
            <w:noProof/>
          </w:rPr>
          <w:t>Tabel 5. Valitsussektori eelarvepositsioon riskistsenaariumi kohaselt 2023-2025</w:t>
        </w:r>
        <w:r>
          <w:rPr>
            <w:noProof/>
            <w:webHidden/>
          </w:rPr>
          <w:tab/>
        </w:r>
        <w:r>
          <w:rPr>
            <w:noProof/>
            <w:webHidden/>
          </w:rPr>
          <w:fldChar w:fldCharType="begin"/>
        </w:r>
        <w:r>
          <w:rPr>
            <w:noProof/>
            <w:webHidden/>
          </w:rPr>
          <w:instrText xml:space="preserve"> PAGEREF _Toc143775546 \h </w:instrText>
        </w:r>
        <w:r>
          <w:rPr>
            <w:noProof/>
            <w:webHidden/>
          </w:rPr>
        </w:r>
        <w:r>
          <w:rPr>
            <w:noProof/>
            <w:webHidden/>
          </w:rPr>
          <w:fldChar w:fldCharType="separate"/>
        </w:r>
        <w:r>
          <w:rPr>
            <w:noProof/>
            <w:webHidden/>
          </w:rPr>
          <w:t>34</w:t>
        </w:r>
        <w:r>
          <w:rPr>
            <w:noProof/>
            <w:webHidden/>
          </w:rPr>
          <w:fldChar w:fldCharType="end"/>
        </w:r>
      </w:hyperlink>
    </w:p>
    <w:p w14:paraId="3E054951" w14:textId="6BD7D9E9" w:rsidR="001423CD" w:rsidRDefault="001423CD">
      <w:pPr>
        <w:pStyle w:val="TableofFigures"/>
        <w:tabs>
          <w:tab w:val="right" w:leader="dot" w:pos="9968"/>
        </w:tabs>
        <w:rPr>
          <w:rFonts w:asciiTheme="minorHAnsi" w:eastAsiaTheme="minorEastAsia" w:hAnsiTheme="minorHAnsi"/>
          <w:noProof/>
          <w:lang w:eastAsia="et-EE"/>
        </w:rPr>
      </w:pPr>
      <w:hyperlink w:anchor="_Toc143775547" w:history="1">
        <w:r w:rsidRPr="00952F21">
          <w:rPr>
            <w:rStyle w:val="Hyperlink"/>
            <w:noProof/>
          </w:rPr>
          <w:t>Tabel 6. Sisemajanduse koguprodukti prognoos 2023-2027</w:t>
        </w:r>
        <w:r>
          <w:rPr>
            <w:noProof/>
            <w:webHidden/>
          </w:rPr>
          <w:tab/>
        </w:r>
        <w:r>
          <w:rPr>
            <w:noProof/>
            <w:webHidden/>
          </w:rPr>
          <w:fldChar w:fldCharType="begin"/>
        </w:r>
        <w:r>
          <w:rPr>
            <w:noProof/>
            <w:webHidden/>
          </w:rPr>
          <w:instrText xml:space="preserve"> PAGEREF _Toc143775547 \h </w:instrText>
        </w:r>
        <w:r>
          <w:rPr>
            <w:noProof/>
            <w:webHidden/>
          </w:rPr>
        </w:r>
        <w:r>
          <w:rPr>
            <w:noProof/>
            <w:webHidden/>
          </w:rPr>
          <w:fldChar w:fldCharType="separate"/>
        </w:r>
        <w:r>
          <w:rPr>
            <w:noProof/>
            <w:webHidden/>
          </w:rPr>
          <w:t>40</w:t>
        </w:r>
        <w:r>
          <w:rPr>
            <w:noProof/>
            <w:webHidden/>
          </w:rPr>
          <w:fldChar w:fldCharType="end"/>
        </w:r>
      </w:hyperlink>
    </w:p>
    <w:p w14:paraId="6BDA6B8F" w14:textId="1FA782B4" w:rsidR="001423CD" w:rsidRDefault="001423CD">
      <w:pPr>
        <w:pStyle w:val="TableofFigures"/>
        <w:tabs>
          <w:tab w:val="right" w:leader="dot" w:pos="9968"/>
        </w:tabs>
        <w:rPr>
          <w:rFonts w:asciiTheme="minorHAnsi" w:eastAsiaTheme="minorEastAsia" w:hAnsiTheme="minorHAnsi"/>
          <w:noProof/>
          <w:lang w:eastAsia="et-EE"/>
        </w:rPr>
      </w:pPr>
      <w:hyperlink w:anchor="_Toc143775548" w:history="1">
        <w:r w:rsidRPr="00952F21">
          <w:rPr>
            <w:rStyle w:val="Hyperlink"/>
            <w:noProof/>
          </w:rPr>
          <w:t>Tabel 7. Hindade prognoos 2023–2027</w:t>
        </w:r>
        <w:r>
          <w:rPr>
            <w:noProof/>
            <w:webHidden/>
          </w:rPr>
          <w:tab/>
        </w:r>
        <w:r>
          <w:rPr>
            <w:noProof/>
            <w:webHidden/>
          </w:rPr>
          <w:fldChar w:fldCharType="begin"/>
        </w:r>
        <w:r>
          <w:rPr>
            <w:noProof/>
            <w:webHidden/>
          </w:rPr>
          <w:instrText xml:space="preserve"> PAGEREF _Toc143775548 \h </w:instrText>
        </w:r>
        <w:r>
          <w:rPr>
            <w:noProof/>
            <w:webHidden/>
          </w:rPr>
        </w:r>
        <w:r>
          <w:rPr>
            <w:noProof/>
            <w:webHidden/>
          </w:rPr>
          <w:fldChar w:fldCharType="separate"/>
        </w:r>
        <w:r>
          <w:rPr>
            <w:noProof/>
            <w:webHidden/>
          </w:rPr>
          <w:t>40</w:t>
        </w:r>
        <w:r>
          <w:rPr>
            <w:noProof/>
            <w:webHidden/>
          </w:rPr>
          <w:fldChar w:fldCharType="end"/>
        </w:r>
      </w:hyperlink>
    </w:p>
    <w:p w14:paraId="355D4390" w14:textId="4DEFC768" w:rsidR="001423CD" w:rsidRDefault="001423CD">
      <w:pPr>
        <w:pStyle w:val="TableofFigures"/>
        <w:tabs>
          <w:tab w:val="right" w:leader="dot" w:pos="9968"/>
        </w:tabs>
        <w:rPr>
          <w:rFonts w:asciiTheme="minorHAnsi" w:eastAsiaTheme="minorEastAsia" w:hAnsiTheme="minorHAnsi"/>
          <w:noProof/>
          <w:lang w:eastAsia="et-EE"/>
        </w:rPr>
      </w:pPr>
      <w:hyperlink w:anchor="_Toc143775549" w:history="1">
        <w:r w:rsidRPr="00952F21">
          <w:rPr>
            <w:rStyle w:val="Hyperlink"/>
            <w:noProof/>
          </w:rPr>
          <w:t>Tabel 8. Tööturu prognoos 2023–2027 (15–74-aastased)</w:t>
        </w:r>
        <w:r>
          <w:rPr>
            <w:noProof/>
            <w:webHidden/>
          </w:rPr>
          <w:tab/>
        </w:r>
        <w:r>
          <w:rPr>
            <w:noProof/>
            <w:webHidden/>
          </w:rPr>
          <w:fldChar w:fldCharType="begin"/>
        </w:r>
        <w:r>
          <w:rPr>
            <w:noProof/>
            <w:webHidden/>
          </w:rPr>
          <w:instrText xml:space="preserve"> PAGEREF _Toc143775549 \h </w:instrText>
        </w:r>
        <w:r>
          <w:rPr>
            <w:noProof/>
            <w:webHidden/>
          </w:rPr>
        </w:r>
        <w:r>
          <w:rPr>
            <w:noProof/>
            <w:webHidden/>
          </w:rPr>
          <w:fldChar w:fldCharType="separate"/>
        </w:r>
        <w:r>
          <w:rPr>
            <w:noProof/>
            <w:webHidden/>
          </w:rPr>
          <w:t>41</w:t>
        </w:r>
        <w:r>
          <w:rPr>
            <w:noProof/>
            <w:webHidden/>
          </w:rPr>
          <w:fldChar w:fldCharType="end"/>
        </w:r>
      </w:hyperlink>
    </w:p>
    <w:p w14:paraId="55F5B378" w14:textId="11601AC5" w:rsidR="001423CD" w:rsidRDefault="001423CD">
      <w:pPr>
        <w:pStyle w:val="TableofFigures"/>
        <w:tabs>
          <w:tab w:val="right" w:leader="dot" w:pos="9968"/>
        </w:tabs>
        <w:rPr>
          <w:rFonts w:asciiTheme="minorHAnsi" w:eastAsiaTheme="minorEastAsia" w:hAnsiTheme="minorHAnsi"/>
          <w:noProof/>
          <w:lang w:eastAsia="et-EE"/>
        </w:rPr>
      </w:pPr>
      <w:hyperlink w:anchor="_Toc143775550" w:history="1">
        <w:r w:rsidRPr="00952F21">
          <w:rPr>
            <w:rStyle w:val="Hyperlink"/>
            <w:noProof/>
          </w:rPr>
          <w:t>Tabel 9. Maksebilansi prognoos 2023–2027</w:t>
        </w:r>
        <w:r>
          <w:rPr>
            <w:noProof/>
            <w:webHidden/>
          </w:rPr>
          <w:tab/>
        </w:r>
        <w:r>
          <w:rPr>
            <w:noProof/>
            <w:webHidden/>
          </w:rPr>
          <w:fldChar w:fldCharType="begin"/>
        </w:r>
        <w:r>
          <w:rPr>
            <w:noProof/>
            <w:webHidden/>
          </w:rPr>
          <w:instrText xml:space="preserve"> PAGEREF _Toc143775550 \h </w:instrText>
        </w:r>
        <w:r>
          <w:rPr>
            <w:noProof/>
            <w:webHidden/>
          </w:rPr>
        </w:r>
        <w:r>
          <w:rPr>
            <w:noProof/>
            <w:webHidden/>
          </w:rPr>
          <w:fldChar w:fldCharType="separate"/>
        </w:r>
        <w:r>
          <w:rPr>
            <w:noProof/>
            <w:webHidden/>
          </w:rPr>
          <w:t>41</w:t>
        </w:r>
        <w:r>
          <w:rPr>
            <w:noProof/>
            <w:webHidden/>
          </w:rPr>
          <w:fldChar w:fldCharType="end"/>
        </w:r>
      </w:hyperlink>
    </w:p>
    <w:p w14:paraId="4DF2D95C" w14:textId="619F431F" w:rsidR="001423CD" w:rsidRDefault="001423CD">
      <w:pPr>
        <w:pStyle w:val="TableofFigures"/>
        <w:tabs>
          <w:tab w:val="right" w:leader="dot" w:pos="9968"/>
        </w:tabs>
        <w:rPr>
          <w:rFonts w:asciiTheme="minorHAnsi" w:eastAsiaTheme="minorEastAsia" w:hAnsiTheme="minorHAnsi"/>
          <w:noProof/>
          <w:lang w:eastAsia="et-EE"/>
        </w:rPr>
      </w:pPr>
      <w:hyperlink w:anchor="_Toc143775551" w:history="1">
        <w:r w:rsidRPr="00952F21">
          <w:rPr>
            <w:rStyle w:val="Hyperlink"/>
            <w:noProof/>
          </w:rPr>
          <w:t>Tabel 10. Riskistsenaarium</w:t>
        </w:r>
        <w:r>
          <w:rPr>
            <w:noProof/>
            <w:webHidden/>
          </w:rPr>
          <w:tab/>
        </w:r>
        <w:r>
          <w:rPr>
            <w:noProof/>
            <w:webHidden/>
          </w:rPr>
          <w:fldChar w:fldCharType="begin"/>
        </w:r>
        <w:r>
          <w:rPr>
            <w:noProof/>
            <w:webHidden/>
          </w:rPr>
          <w:instrText xml:space="preserve"> PAGEREF _Toc143775551 \h </w:instrText>
        </w:r>
        <w:r>
          <w:rPr>
            <w:noProof/>
            <w:webHidden/>
          </w:rPr>
        </w:r>
        <w:r>
          <w:rPr>
            <w:noProof/>
            <w:webHidden/>
          </w:rPr>
          <w:fldChar w:fldCharType="separate"/>
        </w:r>
        <w:r>
          <w:rPr>
            <w:noProof/>
            <w:webHidden/>
          </w:rPr>
          <w:t>41</w:t>
        </w:r>
        <w:r>
          <w:rPr>
            <w:noProof/>
            <w:webHidden/>
          </w:rPr>
          <w:fldChar w:fldCharType="end"/>
        </w:r>
      </w:hyperlink>
    </w:p>
    <w:p w14:paraId="7889854C" w14:textId="3D46364D" w:rsidR="001423CD" w:rsidRDefault="001423CD">
      <w:pPr>
        <w:pStyle w:val="TableofFigures"/>
        <w:tabs>
          <w:tab w:val="right" w:leader="dot" w:pos="9968"/>
        </w:tabs>
        <w:rPr>
          <w:rFonts w:asciiTheme="minorHAnsi" w:eastAsiaTheme="minorEastAsia" w:hAnsiTheme="minorHAnsi"/>
          <w:noProof/>
          <w:lang w:eastAsia="et-EE"/>
        </w:rPr>
      </w:pPr>
      <w:hyperlink w:anchor="_Toc143775552" w:history="1">
        <w:r w:rsidRPr="00952F21">
          <w:rPr>
            <w:rStyle w:val="Hyperlink"/>
            <w:noProof/>
          </w:rPr>
          <w:t>Tabel 11. Majandusprognooside võrdlus (%)</w:t>
        </w:r>
        <w:r>
          <w:rPr>
            <w:noProof/>
            <w:webHidden/>
          </w:rPr>
          <w:tab/>
        </w:r>
        <w:r>
          <w:rPr>
            <w:noProof/>
            <w:webHidden/>
          </w:rPr>
          <w:fldChar w:fldCharType="begin"/>
        </w:r>
        <w:r>
          <w:rPr>
            <w:noProof/>
            <w:webHidden/>
          </w:rPr>
          <w:instrText xml:space="preserve"> PAGEREF _Toc143775552 \h </w:instrText>
        </w:r>
        <w:r>
          <w:rPr>
            <w:noProof/>
            <w:webHidden/>
          </w:rPr>
        </w:r>
        <w:r>
          <w:rPr>
            <w:noProof/>
            <w:webHidden/>
          </w:rPr>
          <w:fldChar w:fldCharType="separate"/>
        </w:r>
        <w:r>
          <w:rPr>
            <w:noProof/>
            <w:webHidden/>
          </w:rPr>
          <w:t>41</w:t>
        </w:r>
        <w:r>
          <w:rPr>
            <w:noProof/>
            <w:webHidden/>
          </w:rPr>
          <w:fldChar w:fldCharType="end"/>
        </w:r>
      </w:hyperlink>
    </w:p>
    <w:p w14:paraId="4ECB9D82" w14:textId="0162E524" w:rsidR="001423CD" w:rsidRDefault="001423CD">
      <w:pPr>
        <w:pStyle w:val="TableofFigures"/>
        <w:tabs>
          <w:tab w:val="right" w:leader="dot" w:pos="9968"/>
        </w:tabs>
        <w:rPr>
          <w:rFonts w:asciiTheme="minorHAnsi" w:eastAsiaTheme="minorEastAsia" w:hAnsiTheme="minorHAnsi"/>
          <w:noProof/>
          <w:lang w:eastAsia="et-EE"/>
        </w:rPr>
      </w:pPr>
      <w:hyperlink w:anchor="_Toc143775553" w:history="1">
        <w:r w:rsidRPr="00952F21">
          <w:rPr>
            <w:rStyle w:val="Hyperlink"/>
            <w:noProof/>
          </w:rPr>
          <w:t>Tabel 12. Prognoosi olulisemad väliseeldused (%)</w:t>
        </w:r>
        <w:r>
          <w:rPr>
            <w:noProof/>
            <w:webHidden/>
          </w:rPr>
          <w:tab/>
        </w:r>
        <w:r>
          <w:rPr>
            <w:noProof/>
            <w:webHidden/>
          </w:rPr>
          <w:fldChar w:fldCharType="begin"/>
        </w:r>
        <w:r>
          <w:rPr>
            <w:noProof/>
            <w:webHidden/>
          </w:rPr>
          <w:instrText xml:space="preserve"> PAGEREF _Toc143775553 \h </w:instrText>
        </w:r>
        <w:r>
          <w:rPr>
            <w:noProof/>
            <w:webHidden/>
          </w:rPr>
        </w:r>
        <w:r>
          <w:rPr>
            <w:noProof/>
            <w:webHidden/>
          </w:rPr>
          <w:fldChar w:fldCharType="separate"/>
        </w:r>
        <w:r>
          <w:rPr>
            <w:noProof/>
            <w:webHidden/>
          </w:rPr>
          <w:t>42</w:t>
        </w:r>
        <w:r>
          <w:rPr>
            <w:noProof/>
            <w:webHidden/>
          </w:rPr>
          <w:fldChar w:fldCharType="end"/>
        </w:r>
      </w:hyperlink>
    </w:p>
    <w:p w14:paraId="74666974" w14:textId="5CFEA58B" w:rsidR="001423CD" w:rsidRDefault="001423CD">
      <w:pPr>
        <w:pStyle w:val="TableofFigures"/>
        <w:tabs>
          <w:tab w:val="right" w:leader="dot" w:pos="9968"/>
        </w:tabs>
        <w:rPr>
          <w:rFonts w:asciiTheme="minorHAnsi" w:eastAsiaTheme="minorEastAsia" w:hAnsiTheme="minorHAnsi"/>
          <w:noProof/>
          <w:lang w:eastAsia="et-EE"/>
        </w:rPr>
      </w:pPr>
      <w:hyperlink w:anchor="_Toc143775554" w:history="1">
        <w:r w:rsidRPr="00952F21">
          <w:rPr>
            <w:rStyle w:val="Hyperlink"/>
            <w:noProof/>
          </w:rPr>
          <w:t>Tabel 13. Valitsussektori eelarve tulude ja kulude prognoos 2023–2027</w:t>
        </w:r>
        <w:r>
          <w:rPr>
            <w:noProof/>
            <w:webHidden/>
          </w:rPr>
          <w:tab/>
        </w:r>
        <w:r>
          <w:rPr>
            <w:noProof/>
            <w:webHidden/>
          </w:rPr>
          <w:fldChar w:fldCharType="begin"/>
        </w:r>
        <w:r>
          <w:rPr>
            <w:noProof/>
            <w:webHidden/>
          </w:rPr>
          <w:instrText xml:space="preserve"> PAGEREF _Toc143775554 \h </w:instrText>
        </w:r>
        <w:r>
          <w:rPr>
            <w:noProof/>
            <w:webHidden/>
          </w:rPr>
        </w:r>
        <w:r>
          <w:rPr>
            <w:noProof/>
            <w:webHidden/>
          </w:rPr>
          <w:fldChar w:fldCharType="separate"/>
        </w:r>
        <w:r>
          <w:rPr>
            <w:noProof/>
            <w:webHidden/>
          </w:rPr>
          <w:t>43</w:t>
        </w:r>
        <w:r>
          <w:rPr>
            <w:noProof/>
            <w:webHidden/>
          </w:rPr>
          <w:fldChar w:fldCharType="end"/>
        </w:r>
      </w:hyperlink>
    </w:p>
    <w:p w14:paraId="17E87031" w14:textId="2CD7A7A9" w:rsidR="001423CD" w:rsidRDefault="001423CD">
      <w:pPr>
        <w:pStyle w:val="TableofFigures"/>
        <w:tabs>
          <w:tab w:val="right" w:leader="dot" w:pos="9968"/>
        </w:tabs>
        <w:rPr>
          <w:rFonts w:asciiTheme="minorHAnsi" w:eastAsiaTheme="minorEastAsia" w:hAnsiTheme="minorHAnsi"/>
          <w:noProof/>
          <w:lang w:eastAsia="et-EE"/>
        </w:rPr>
      </w:pPr>
      <w:hyperlink w:anchor="_Toc143775555" w:history="1">
        <w:r w:rsidRPr="00952F21">
          <w:rPr>
            <w:rStyle w:val="Hyperlink"/>
            <w:noProof/>
          </w:rPr>
          <w:t>Tabel 14. Valitsussektori kulud valitsemisfunktsioonide (COFOG) lõikes (% SKPst)</w:t>
        </w:r>
        <w:r>
          <w:rPr>
            <w:noProof/>
            <w:webHidden/>
          </w:rPr>
          <w:tab/>
        </w:r>
        <w:r>
          <w:rPr>
            <w:noProof/>
            <w:webHidden/>
          </w:rPr>
          <w:fldChar w:fldCharType="begin"/>
        </w:r>
        <w:r>
          <w:rPr>
            <w:noProof/>
            <w:webHidden/>
          </w:rPr>
          <w:instrText xml:space="preserve"> PAGEREF _Toc143775555 \h </w:instrText>
        </w:r>
        <w:r>
          <w:rPr>
            <w:noProof/>
            <w:webHidden/>
          </w:rPr>
        </w:r>
        <w:r>
          <w:rPr>
            <w:noProof/>
            <w:webHidden/>
          </w:rPr>
          <w:fldChar w:fldCharType="separate"/>
        </w:r>
        <w:r>
          <w:rPr>
            <w:noProof/>
            <w:webHidden/>
          </w:rPr>
          <w:t>44</w:t>
        </w:r>
        <w:r>
          <w:rPr>
            <w:noProof/>
            <w:webHidden/>
          </w:rPr>
          <w:fldChar w:fldCharType="end"/>
        </w:r>
      </w:hyperlink>
    </w:p>
    <w:p w14:paraId="4B24D4C0" w14:textId="2C9AB62D" w:rsidR="001423CD" w:rsidRDefault="001423CD">
      <w:pPr>
        <w:pStyle w:val="TableofFigures"/>
        <w:tabs>
          <w:tab w:val="right" w:leader="dot" w:pos="9968"/>
        </w:tabs>
        <w:rPr>
          <w:rFonts w:asciiTheme="minorHAnsi" w:eastAsiaTheme="minorEastAsia" w:hAnsiTheme="minorHAnsi"/>
          <w:noProof/>
          <w:lang w:eastAsia="et-EE"/>
        </w:rPr>
      </w:pPr>
      <w:hyperlink w:anchor="_Toc143775556" w:history="1">
        <w:r w:rsidRPr="00952F21">
          <w:rPr>
            <w:rStyle w:val="Hyperlink"/>
            <w:noProof/>
          </w:rPr>
          <w:t>Tabel 15. Tsükliliselt tasandatud eelarvepositsioon aastatel 2020–2027 (% SKPst)</w:t>
        </w:r>
        <w:r>
          <w:rPr>
            <w:noProof/>
            <w:webHidden/>
          </w:rPr>
          <w:tab/>
        </w:r>
        <w:r>
          <w:rPr>
            <w:noProof/>
            <w:webHidden/>
          </w:rPr>
          <w:fldChar w:fldCharType="begin"/>
        </w:r>
        <w:r>
          <w:rPr>
            <w:noProof/>
            <w:webHidden/>
          </w:rPr>
          <w:instrText xml:space="preserve"> PAGEREF _Toc143775556 \h </w:instrText>
        </w:r>
        <w:r>
          <w:rPr>
            <w:noProof/>
            <w:webHidden/>
          </w:rPr>
        </w:r>
        <w:r>
          <w:rPr>
            <w:noProof/>
            <w:webHidden/>
          </w:rPr>
          <w:fldChar w:fldCharType="separate"/>
        </w:r>
        <w:r>
          <w:rPr>
            <w:noProof/>
            <w:webHidden/>
          </w:rPr>
          <w:t>44</w:t>
        </w:r>
        <w:r>
          <w:rPr>
            <w:noProof/>
            <w:webHidden/>
          </w:rPr>
          <w:fldChar w:fldCharType="end"/>
        </w:r>
      </w:hyperlink>
    </w:p>
    <w:p w14:paraId="5F02B87E" w14:textId="433AB285" w:rsidR="001423CD" w:rsidRDefault="001423CD">
      <w:pPr>
        <w:pStyle w:val="TableofFigures"/>
        <w:tabs>
          <w:tab w:val="right" w:leader="dot" w:pos="9968"/>
        </w:tabs>
        <w:rPr>
          <w:rFonts w:asciiTheme="minorHAnsi" w:eastAsiaTheme="minorEastAsia" w:hAnsiTheme="minorHAnsi"/>
          <w:noProof/>
          <w:lang w:eastAsia="et-EE"/>
        </w:rPr>
      </w:pPr>
      <w:hyperlink w:anchor="_Toc143775557" w:history="1">
        <w:r w:rsidRPr="00952F21">
          <w:rPr>
            <w:rStyle w:val="Hyperlink"/>
            <w:noProof/>
          </w:rPr>
          <w:t>Tabel 16. 2021. ja 2022. aasta tegelik riigieelarve täitmine ja 2023.-2027. aasta riigieelarve tulude prognoos</w:t>
        </w:r>
        <w:r>
          <w:rPr>
            <w:noProof/>
            <w:webHidden/>
          </w:rPr>
          <w:tab/>
        </w:r>
        <w:r>
          <w:rPr>
            <w:noProof/>
            <w:webHidden/>
          </w:rPr>
          <w:fldChar w:fldCharType="begin"/>
        </w:r>
        <w:r>
          <w:rPr>
            <w:noProof/>
            <w:webHidden/>
          </w:rPr>
          <w:instrText xml:space="preserve"> PAGEREF _Toc143775557 \h </w:instrText>
        </w:r>
        <w:r>
          <w:rPr>
            <w:noProof/>
            <w:webHidden/>
          </w:rPr>
        </w:r>
        <w:r>
          <w:rPr>
            <w:noProof/>
            <w:webHidden/>
          </w:rPr>
          <w:fldChar w:fldCharType="separate"/>
        </w:r>
        <w:r>
          <w:rPr>
            <w:noProof/>
            <w:webHidden/>
          </w:rPr>
          <w:t>45</w:t>
        </w:r>
        <w:r>
          <w:rPr>
            <w:noProof/>
            <w:webHidden/>
          </w:rPr>
          <w:fldChar w:fldCharType="end"/>
        </w:r>
      </w:hyperlink>
    </w:p>
    <w:p w14:paraId="066CA573" w14:textId="126B4315" w:rsidR="001423CD" w:rsidRDefault="001423CD">
      <w:pPr>
        <w:pStyle w:val="TableofFigures"/>
        <w:tabs>
          <w:tab w:val="right" w:leader="dot" w:pos="9968"/>
        </w:tabs>
        <w:rPr>
          <w:rFonts w:asciiTheme="minorHAnsi" w:eastAsiaTheme="minorEastAsia" w:hAnsiTheme="minorHAnsi"/>
          <w:noProof/>
          <w:lang w:eastAsia="et-EE"/>
        </w:rPr>
      </w:pPr>
      <w:hyperlink w:anchor="_Toc143775558" w:history="1">
        <w:r w:rsidRPr="00952F21">
          <w:rPr>
            <w:rStyle w:val="Hyperlink"/>
            <w:noProof/>
          </w:rPr>
          <w:t>Tabel 17. Peamised maksumuudatused 2023. ja 2024. aastal</w:t>
        </w:r>
        <w:r>
          <w:rPr>
            <w:noProof/>
            <w:webHidden/>
          </w:rPr>
          <w:tab/>
        </w:r>
        <w:r>
          <w:rPr>
            <w:noProof/>
            <w:webHidden/>
          </w:rPr>
          <w:fldChar w:fldCharType="begin"/>
        </w:r>
        <w:r>
          <w:rPr>
            <w:noProof/>
            <w:webHidden/>
          </w:rPr>
          <w:instrText xml:space="preserve"> PAGEREF _Toc143775558 \h </w:instrText>
        </w:r>
        <w:r>
          <w:rPr>
            <w:noProof/>
            <w:webHidden/>
          </w:rPr>
        </w:r>
        <w:r>
          <w:rPr>
            <w:noProof/>
            <w:webHidden/>
          </w:rPr>
          <w:fldChar w:fldCharType="separate"/>
        </w:r>
        <w:r>
          <w:rPr>
            <w:noProof/>
            <w:webHidden/>
          </w:rPr>
          <w:t>46</w:t>
        </w:r>
        <w:r>
          <w:rPr>
            <w:noProof/>
            <w:webHidden/>
          </w:rPr>
          <w:fldChar w:fldCharType="end"/>
        </w:r>
      </w:hyperlink>
    </w:p>
    <w:p w14:paraId="1113E0EE" w14:textId="18A2E402" w:rsidR="001423CD" w:rsidRDefault="001423CD">
      <w:pPr>
        <w:pStyle w:val="TableofFigures"/>
        <w:tabs>
          <w:tab w:val="right" w:leader="dot" w:pos="9968"/>
        </w:tabs>
        <w:rPr>
          <w:rFonts w:asciiTheme="minorHAnsi" w:eastAsiaTheme="minorEastAsia" w:hAnsiTheme="minorHAnsi"/>
          <w:noProof/>
          <w:lang w:eastAsia="et-EE"/>
        </w:rPr>
      </w:pPr>
      <w:hyperlink w:anchor="_Toc143775559" w:history="1">
        <w:r w:rsidRPr="00952F21">
          <w:rPr>
            <w:rStyle w:val="Hyperlink"/>
            <w:noProof/>
          </w:rPr>
          <w:t>Tabel 18. Maksukulud riigieelarves aastatel 2022-2024 (mln eurot)</w:t>
        </w:r>
        <w:r>
          <w:rPr>
            <w:noProof/>
            <w:webHidden/>
          </w:rPr>
          <w:tab/>
        </w:r>
        <w:r>
          <w:rPr>
            <w:noProof/>
            <w:webHidden/>
          </w:rPr>
          <w:fldChar w:fldCharType="begin"/>
        </w:r>
        <w:r>
          <w:rPr>
            <w:noProof/>
            <w:webHidden/>
          </w:rPr>
          <w:instrText xml:space="preserve"> PAGEREF _Toc143775559 \h </w:instrText>
        </w:r>
        <w:r>
          <w:rPr>
            <w:noProof/>
            <w:webHidden/>
          </w:rPr>
        </w:r>
        <w:r>
          <w:rPr>
            <w:noProof/>
            <w:webHidden/>
          </w:rPr>
          <w:fldChar w:fldCharType="separate"/>
        </w:r>
        <w:r>
          <w:rPr>
            <w:noProof/>
            <w:webHidden/>
          </w:rPr>
          <w:t>47</w:t>
        </w:r>
        <w:r>
          <w:rPr>
            <w:noProof/>
            <w:webHidden/>
          </w:rPr>
          <w:fldChar w:fldCharType="end"/>
        </w:r>
      </w:hyperlink>
    </w:p>
    <w:p w14:paraId="42A8CE1F" w14:textId="620F993F" w:rsidR="001423CD" w:rsidRDefault="001423CD">
      <w:pPr>
        <w:pStyle w:val="TableofFigures"/>
        <w:tabs>
          <w:tab w:val="right" w:leader="dot" w:pos="9968"/>
        </w:tabs>
        <w:rPr>
          <w:rFonts w:asciiTheme="minorHAnsi" w:eastAsiaTheme="minorEastAsia" w:hAnsiTheme="minorHAnsi"/>
          <w:noProof/>
          <w:lang w:eastAsia="et-EE"/>
        </w:rPr>
      </w:pPr>
      <w:hyperlink w:anchor="_Toc143775560" w:history="1">
        <w:r w:rsidRPr="00952F21">
          <w:rPr>
            <w:rStyle w:val="Hyperlink"/>
            <w:noProof/>
          </w:rPr>
          <w:t>Tabel 19. Valitsussektori võlakoormuse muutus 2022. aastal</w:t>
        </w:r>
        <w:r>
          <w:rPr>
            <w:noProof/>
            <w:webHidden/>
          </w:rPr>
          <w:tab/>
        </w:r>
        <w:r>
          <w:rPr>
            <w:noProof/>
            <w:webHidden/>
          </w:rPr>
          <w:fldChar w:fldCharType="begin"/>
        </w:r>
        <w:r>
          <w:rPr>
            <w:noProof/>
            <w:webHidden/>
          </w:rPr>
          <w:instrText xml:space="preserve"> PAGEREF _Toc143775560 \h </w:instrText>
        </w:r>
        <w:r>
          <w:rPr>
            <w:noProof/>
            <w:webHidden/>
          </w:rPr>
        </w:r>
        <w:r>
          <w:rPr>
            <w:noProof/>
            <w:webHidden/>
          </w:rPr>
          <w:fldChar w:fldCharType="separate"/>
        </w:r>
        <w:r>
          <w:rPr>
            <w:noProof/>
            <w:webHidden/>
          </w:rPr>
          <w:t>49</w:t>
        </w:r>
        <w:r>
          <w:rPr>
            <w:noProof/>
            <w:webHidden/>
          </w:rPr>
          <w:fldChar w:fldCharType="end"/>
        </w:r>
      </w:hyperlink>
    </w:p>
    <w:p w14:paraId="60F855EC" w14:textId="24D84C88" w:rsidR="001423CD" w:rsidRDefault="001423CD">
      <w:pPr>
        <w:pStyle w:val="TableofFigures"/>
        <w:tabs>
          <w:tab w:val="right" w:leader="dot" w:pos="9968"/>
        </w:tabs>
        <w:rPr>
          <w:rFonts w:asciiTheme="minorHAnsi" w:eastAsiaTheme="minorEastAsia" w:hAnsiTheme="minorHAnsi"/>
          <w:noProof/>
          <w:lang w:eastAsia="et-EE"/>
        </w:rPr>
      </w:pPr>
      <w:hyperlink w:anchor="_Toc143775561" w:history="1">
        <w:r w:rsidRPr="00952F21">
          <w:rPr>
            <w:rStyle w:val="Hyperlink"/>
            <w:noProof/>
          </w:rPr>
          <w:t>Tabel 20. Valitsussektori võlakoormus 2020–2027 (mln eurot, % SKPst)</w:t>
        </w:r>
        <w:r>
          <w:rPr>
            <w:noProof/>
            <w:webHidden/>
          </w:rPr>
          <w:tab/>
        </w:r>
        <w:r>
          <w:rPr>
            <w:noProof/>
            <w:webHidden/>
          </w:rPr>
          <w:fldChar w:fldCharType="begin"/>
        </w:r>
        <w:r>
          <w:rPr>
            <w:noProof/>
            <w:webHidden/>
          </w:rPr>
          <w:instrText xml:space="preserve"> PAGEREF _Toc143775561 \h </w:instrText>
        </w:r>
        <w:r>
          <w:rPr>
            <w:noProof/>
            <w:webHidden/>
          </w:rPr>
        </w:r>
        <w:r>
          <w:rPr>
            <w:noProof/>
            <w:webHidden/>
          </w:rPr>
          <w:fldChar w:fldCharType="separate"/>
        </w:r>
        <w:r>
          <w:rPr>
            <w:noProof/>
            <w:webHidden/>
          </w:rPr>
          <w:t>49</w:t>
        </w:r>
        <w:r>
          <w:rPr>
            <w:noProof/>
            <w:webHidden/>
          </w:rPr>
          <w:fldChar w:fldCharType="end"/>
        </w:r>
      </w:hyperlink>
    </w:p>
    <w:p w14:paraId="320536B2" w14:textId="08A53A54" w:rsidR="001423CD" w:rsidRDefault="001423CD">
      <w:pPr>
        <w:pStyle w:val="TableofFigures"/>
        <w:tabs>
          <w:tab w:val="right" w:leader="dot" w:pos="9968"/>
        </w:tabs>
        <w:rPr>
          <w:rFonts w:asciiTheme="minorHAnsi" w:eastAsiaTheme="minorEastAsia" w:hAnsiTheme="minorHAnsi"/>
          <w:noProof/>
          <w:lang w:eastAsia="et-EE"/>
        </w:rPr>
      </w:pPr>
      <w:hyperlink w:anchor="_Toc143775562" w:history="1">
        <w:r w:rsidRPr="00952F21">
          <w:rPr>
            <w:rStyle w:val="Hyperlink"/>
            <w:noProof/>
          </w:rPr>
          <w:t>Tabel 21. Valitsussektori likviidsed finantsvarad 2019-2026 (mln eurot, % SKPst)</w:t>
        </w:r>
        <w:r>
          <w:rPr>
            <w:noProof/>
            <w:webHidden/>
          </w:rPr>
          <w:tab/>
        </w:r>
        <w:r>
          <w:rPr>
            <w:noProof/>
            <w:webHidden/>
          </w:rPr>
          <w:fldChar w:fldCharType="begin"/>
        </w:r>
        <w:r>
          <w:rPr>
            <w:noProof/>
            <w:webHidden/>
          </w:rPr>
          <w:instrText xml:space="preserve"> PAGEREF _Toc143775562 \h </w:instrText>
        </w:r>
        <w:r>
          <w:rPr>
            <w:noProof/>
            <w:webHidden/>
          </w:rPr>
        </w:r>
        <w:r>
          <w:rPr>
            <w:noProof/>
            <w:webHidden/>
          </w:rPr>
          <w:fldChar w:fldCharType="separate"/>
        </w:r>
        <w:r>
          <w:rPr>
            <w:noProof/>
            <w:webHidden/>
          </w:rPr>
          <w:t>50</w:t>
        </w:r>
        <w:r>
          <w:rPr>
            <w:noProof/>
            <w:webHidden/>
          </w:rPr>
          <w:fldChar w:fldCharType="end"/>
        </w:r>
      </w:hyperlink>
    </w:p>
    <w:p w14:paraId="0D101D17" w14:textId="5FEF2241" w:rsidR="001423CD" w:rsidRDefault="001423CD">
      <w:pPr>
        <w:pStyle w:val="TableofFigures"/>
        <w:tabs>
          <w:tab w:val="right" w:leader="dot" w:pos="9968"/>
        </w:tabs>
        <w:rPr>
          <w:rFonts w:asciiTheme="minorHAnsi" w:eastAsiaTheme="minorEastAsia" w:hAnsiTheme="minorHAnsi"/>
          <w:noProof/>
          <w:lang w:eastAsia="et-EE"/>
        </w:rPr>
      </w:pPr>
      <w:hyperlink w:anchor="_Toc143775563" w:history="1">
        <w:r w:rsidRPr="00952F21">
          <w:rPr>
            <w:rStyle w:val="Hyperlink"/>
            <w:noProof/>
          </w:rPr>
          <w:t>Tabel 22. Ühekordsed meetmed ja nende mõju 2020–2027 (mln eurot)</w:t>
        </w:r>
        <w:r>
          <w:rPr>
            <w:noProof/>
            <w:webHidden/>
          </w:rPr>
          <w:tab/>
        </w:r>
        <w:r>
          <w:rPr>
            <w:noProof/>
            <w:webHidden/>
          </w:rPr>
          <w:fldChar w:fldCharType="begin"/>
        </w:r>
        <w:r>
          <w:rPr>
            <w:noProof/>
            <w:webHidden/>
          </w:rPr>
          <w:instrText xml:space="preserve"> PAGEREF _Toc143775563 \h </w:instrText>
        </w:r>
        <w:r>
          <w:rPr>
            <w:noProof/>
            <w:webHidden/>
          </w:rPr>
        </w:r>
        <w:r>
          <w:rPr>
            <w:noProof/>
            <w:webHidden/>
          </w:rPr>
          <w:fldChar w:fldCharType="separate"/>
        </w:r>
        <w:r>
          <w:rPr>
            <w:noProof/>
            <w:webHidden/>
          </w:rPr>
          <w:t>50</w:t>
        </w:r>
        <w:r>
          <w:rPr>
            <w:noProof/>
            <w:webHidden/>
          </w:rPr>
          <w:fldChar w:fldCharType="end"/>
        </w:r>
      </w:hyperlink>
    </w:p>
    <w:p w14:paraId="65260BD7" w14:textId="3E38A757" w:rsidR="00204A39" w:rsidRPr="00414819" w:rsidRDefault="00177B6A" w:rsidP="009818D0">
      <w:pPr>
        <w:pStyle w:val="TableofFigures"/>
        <w:spacing w:after="0"/>
        <w:rPr>
          <w:highlight w:val="yellow"/>
        </w:rPr>
        <w:sectPr w:rsidR="00204A39" w:rsidRPr="00414819" w:rsidSect="00522497">
          <w:endnotePr>
            <w:numFmt w:val="decimal"/>
          </w:endnotePr>
          <w:pgSz w:w="11906" w:h="16838"/>
          <w:pgMar w:top="964" w:right="964" w:bottom="964" w:left="964" w:header="709" w:footer="709" w:gutter="0"/>
          <w:cols w:space="708"/>
          <w:docGrid w:linePitch="360"/>
        </w:sectPr>
      </w:pPr>
      <w:r w:rsidRPr="00414819">
        <w:rPr>
          <w:highlight w:val="yellow"/>
        </w:rPr>
        <w:fldChar w:fldCharType="end"/>
      </w:r>
    </w:p>
    <w:p w14:paraId="7FA12492" w14:textId="183891A1" w:rsidR="009546D8" w:rsidRPr="00D84B51" w:rsidRDefault="009546D8" w:rsidP="00E66452">
      <w:pPr>
        <w:pStyle w:val="Numbritapealkiri"/>
      </w:pPr>
      <w:bookmarkStart w:id="17" w:name="_Toc62631809"/>
      <w:bookmarkStart w:id="18" w:name="_Toc64504530"/>
      <w:bookmarkStart w:id="19" w:name="_Toc143775492"/>
      <w:r w:rsidRPr="00D84B51">
        <w:lastRenderedPageBreak/>
        <w:t>KOKKUVÕTE</w:t>
      </w:r>
      <w:bookmarkStart w:id="20" w:name="_Hlk100143772"/>
      <w:bookmarkEnd w:id="17"/>
      <w:bookmarkEnd w:id="18"/>
      <w:bookmarkEnd w:id="19"/>
    </w:p>
    <w:p w14:paraId="7D271145" w14:textId="07FA1A85" w:rsidR="00BF762C" w:rsidRPr="00D84B51" w:rsidRDefault="00BF762C" w:rsidP="00E54FF2">
      <w:pPr>
        <w:pStyle w:val="Caption"/>
      </w:pPr>
      <w:bookmarkStart w:id="21" w:name="_Ref68303265"/>
      <w:bookmarkStart w:id="22" w:name="_Toc143775542"/>
      <w:r w:rsidRPr="00D84B51">
        <w:t xml:space="preserve">Tabel </w:t>
      </w:r>
      <w:r w:rsidR="004C0EAE">
        <w:fldChar w:fldCharType="begin"/>
      </w:r>
      <w:r w:rsidR="004C0EAE">
        <w:instrText xml:space="preserve"> SEQ Tabel \* ARABIC </w:instrText>
      </w:r>
      <w:r w:rsidR="004C0EAE">
        <w:fldChar w:fldCharType="separate"/>
      </w:r>
      <w:r w:rsidR="00F312E1" w:rsidRPr="00D84B51">
        <w:rPr>
          <w:noProof/>
        </w:rPr>
        <w:t>1</w:t>
      </w:r>
      <w:r w:rsidR="004C0EAE">
        <w:rPr>
          <w:noProof/>
        </w:rPr>
        <w:fldChar w:fldCharType="end"/>
      </w:r>
      <w:bookmarkEnd w:id="21"/>
      <w:r w:rsidRPr="00D84B51">
        <w:t>. Prognoosi põhinäitajad</w:t>
      </w:r>
      <w:bookmarkEnd w:id="22"/>
    </w:p>
    <w:tbl>
      <w:tblPr>
        <w:tblStyle w:val="TableSubtle1"/>
        <w:tblW w:w="9642" w:type="dxa"/>
        <w:tblLayout w:type="fixed"/>
        <w:tblLook w:val="04A0" w:firstRow="1" w:lastRow="0" w:firstColumn="1" w:lastColumn="0" w:noHBand="0" w:noVBand="1"/>
      </w:tblPr>
      <w:tblGrid>
        <w:gridCol w:w="3684"/>
        <w:gridCol w:w="993"/>
        <w:gridCol w:w="993"/>
        <w:gridCol w:w="993"/>
        <w:gridCol w:w="993"/>
        <w:gridCol w:w="993"/>
        <w:gridCol w:w="993"/>
      </w:tblGrid>
      <w:tr w:rsidR="00BF762C" w:rsidRPr="00D84B51" w14:paraId="070C4734" w14:textId="77777777" w:rsidTr="00170159">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hideMark/>
          </w:tcPr>
          <w:p w14:paraId="5ECE7369" w14:textId="77777777" w:rsidR="00BF762C" w:rsidRPr="00D84B51" w:rsidRDefault="00BF762C" w:rsidP="006C4CD7">
            <w:pPr>
              <w:spacing w:after="0"/>
              <w:jc w:val="center"/>
              <w:rPr>
                <w:rFonts w:cs="Segoe UI Light"/>
                <w:sz w:val="20"/>
                <w:szCs w:val="20"/>
                <w:lang w:eastAsia="et-EE"/>
              </w:rPr>
            </w:pPr>
          </w:p>
        </w:tc>
        <w:tc>
          <w:tcPr>
            <w:tcW w:w="993" w:type="dxa"/>
          </w:tcPr>
          <w:p w14:paraId="312E59FD" w14:textId="4CFB06F0"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202</w:t>
            </w:r>
            <w:r w:rsidR="00593F6A" w:rsidRPr="00D84B51">
              <w:rPr>
                <w:rFonts w:cs="Segoe UI Light"/>
                <w:sz w:val="20"/>
                <w:szCs w:val="20"/>
                <w:lang w:eastAsia="et-EE"/>
              </w:rPr>
              <w:t>2</w:t>
            </w:r>
          </w:p>
          <w:p w14:paraId="5A3F0664" w14:textId="77777777"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tegelik</w:t>
            </w:r>
          </w:p>
        </w:tc>
        <w:tc>
          <w:tcPr>
            <w:tcW w:w="993" w:type="dxa"/>
            <w:noWrap/>
            <w:hideMark/>
          </w:tcPr>
          <w:p w14:paraId="3EE50F1B" w14:textId="7B410B19"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202</w:t>
            </w:r>
            <w:r w:rsidR="00593F6A" w:rsidRPr="00D84B51">
              <w:rPr>
                <w:rFonts w:cs="Segoe UI Light"/>
                <w:sz w:val="20"/>
                <w:szCs w:val="20"/>
                <w:lang w:eastAsia="et-EE"/>
              </w:rPr>
              <w:t>3</w:t>
            </w:r>
            <w:r w:rsidRPr="00D84B51">
              <w:rPr>
                <w:rFonts w:cs="Segoe UI Light"/>
                <w:sz w:val="20"/>
                <w:szCs w:val="20"/>
                <w:lang w:eastAsia="et-EE"/>
              </w:rPr>
              <w:t xml:space="preserve"> prognoos</w:t>
            </w:r>
          </w:p>
        </w:tc>
        <w:tc>
          <w:tcPr>
            <w:tcW w:w="993" w:type="dxa"/>
            <w:noWrap/>
            <w:hideMark/>
          </w:tcPr>
          <w:p w14:paraId="74816469" w14:textId="6A874168"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202</w:t>
            </w:r>
            <w:r w:rsidR="00593F6A" w:rsidRPr="00D84B51">
              <w:rPr>
                <w:rFonts w:cs="Segoe UI Light"/>
                <w:sz w:val="20"/>
                <w:szCs w:val="20"/>
                <w:lang w:eastAsia="et-EE"/>
              </w:rPr>
              <w:t>4</w:t>
            </w:r>
            <w:r w:rsidRPr="00D84B51">
              <w:rPr>
                <w:rFonts w:cs="Segoe UI Light"/>
                <w:sz w:val="20"/>
                <w:szCs w:val="20"/>
                <w:lang w:eastAsia="et-EE"/>
              </w:rPr>
              <w:t xml:space="preserve"> prognoos</w:t>
            </w:r>
          </w:p>
        </w:tc>
        <w:tc>
          <w:tcPr>
            <w:tcW w:w="993" w:type="dxa"/>
            <w:noWrap/>
            <w:hideMark/>
          </w:tcPr>
          <w:p w14:paraId="22F5F5AD" w14:textId="3082E37D"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202</w:t>
            </w:r>
            <w:r w:rsidR="00593F6A" w:rsidRPr="00D84B51">
              <w:rPr>
                <w:rFonts w:cs="Segoe UI Light"/>
                <w:sz w:val="20"/>
                <w:szCs w:val="20"/>
                <w:lang w:eastAsia="et-EE"/>
              </w:rPr>
              <w:t>5</w:t>
            </w:r>
          </w:p>
          <w:p w14:paraId="50DEA61E" w14:textId="77777777"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prognoos</w:t>
            </w:r>
          </w:p>
        </w:tc>
        <w:tc>
          <w:tcPr>
            <w:tcW w:w="993" w:type="dxa"/>
            <w:noWrap/>
            <w:hideMark/>
          </w:tcPr>
          <w:p w14:paraId="0897B68D" w14:textId="3859C3D5"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202</w:t>
            </w:r>
            <w:r w:rsidR="00593F6A" w:rsidRPr="00D84B51">
              <w:rPr>
                <w:rFonts w:cs="Segoe UI Light"/>
                <w:sz w:val="20"/>
                <w:szCs w:val="20"/>
                <w:lang w:eastAsia="et-EE"/>
              </w:rPr>
              <w:t>6</w:t>
            </w:r>
            <w:r w:rsidRPr="00D84B51">
              <w:rPr>
                <w:rFonts w:cs="Segoe UI Light"/>
                <w:sz w:val="20"/>
                <w:szCs w:val="20"/>
                <w:lang w:eastAsia="et-EE"/>
              </w:rPr>
              <w:t xml:space="preserve"> prognoos</w:t>
            </w:r>
          </w:p>
        </w:tc>
        <w:tc>
          <w:tcPr>
            <w:tcW w:w="993" w:type="dxa"/>
            <w:noWrap/>
            <w:hideMark/>
          </w:tcPr>
          <w:p w14:paraId="3F42F70B" w14:textId="1E169864" w:rsidR="00BF762C" w:rsidRPr="00D84B51" w:rsidRDefault="00BF762C" w:rsidP="006C4CD7">
            <w:pPr>
              <w:spacing w:after="0"/>
              <w:jc w:val="center"/>
              <w:cnfStyle w:val="100000000000" w:firstRow="1" w:lastRow="0" w:firstColumn="0" w:lastColumn="0" w:oddVBand="0" w:evenVBand="0" w:oddHBand="0" w:evenHBand="0" w:firstRowFirstColumn="0" w:firstRowLastColumn="0" w:lastRowFirstColumn="0" w:lastRowLastColumn="0"/>
              <w:rPr>
                <w:rFonts w:cs="Segoe UI Light"/>
                <w:sz w:val="20"/>
                <w:szCs w:val="20"/>
                <w:lang w:eastAsia="et-EE"/>
              </w:rPr>
            </w:pPr>
            <w:r w:rsidRPr="00D84B51">
              <w:rPr>
                <w:rFonts w:cs="Segoe UI Light"/>
                <w:sz w:val="20"/>
                <w:szCs w:val="20"/>
                <w:lang w:eastAsia="et-EE"/>
              </w:rPr>
              <w:t>202</w:t>
            </w:r>
            <w:r w:rsidR="00593F6A" w:rsidRPr="00D84B51">
              <w:rPr>
                <w:rFonts w:cs="Segoe UI Light"/>
                <w:sz w:val="20"/>
                <w:szCs w:val="20"/>
                <w:lang w:eastAsia="et-EE"/>
              </w:rPr>
              <w:t>7</w:t>
            </w:r>
            <w:r w:rsidRPr="00D84B51">
              <w:rPr>
                <w:rFonts w:cs="Segoe UI Light"/>
                <w:sz w:val="20"/>
                <w:szCs w:val="20"/>
                <w:lang w:eastAsia="et-EE"/>
              </w:rPr>
              <w:t xml:space="preserve"> prognoos</w:t>
            </w:r>
          </w:p>
        </w:tc>
      </w:tr>
      <w:tr w:rsidR="00A70308" w:rsidRPr="00D84B51" w14:paraId="5172F777" w14:textId="77777777" w:rsidTr="00325CF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D144012" w14:textId="48A717FE" w:rsidR="00A70308" w:rsidRPr="00D84B51" w:rsidRDefault="00A70308" w:rsidP="00A70308">
            <w:pPr>
              <w:spacing w:after="0"/>
              <w:rPr>
                <w:rFonts w:cs="Segoe UI Light"/>
                <w:sz w:val="20"/>
                <w:szCs w:val="20"/>
                <w:lang w:eastAsia="et-EE"/>
              </w:rPr>
            </w:pPr>
            <w:r w:rsidRPr="00D84B51">
              <w:rPr>
                <w:rFonts w:cs="Segoe UI Light"/>
                <w:color w:val="000000"/>
                <w:sz w:val="20"/>
                <w:szCs w:val="20"/>
                <w:lang w:eastAsia="et-EE"/>
              </w:rPr>
              <w:t>Reaalse SKP aastakasv %</w:t>
            </w:r>
          </w:p>
        </w:tc>
        <w:tc>
          <w:tcPr>
            <w:tcW w:w="993" w:type="dxa"/>
            <w:vAlign w:val="center"/>
          </w:tcPr>
          <w:p w14:paraId="0CEAFCDC" w14:textId="685367F6"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pPr>
            <w:r w:rsidRPr="00D84B51">
              <w:rPr>
                <w:rFonts w:cs="Calibri"/>
                <w:color w:val="000000"/>
              </w:rPr>
              <w:t>-0,5</w:t>
            </w:r>
          </w:p>
        </w:tc>
        <w:tc>
          <w:tcPr>
            <w:tcW w:w="993" w:type="dxa"/>
            <w:noWrap/>
            <w:vAlign w:val="center"/>
          </w:tcPr>
          <w:p w14:paraId="2DF34363" w14:textId="3689B240"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-2,0</w:t>
            </w:r>
          </w:p>
        </w:tc>
        <w:tc>
          <w:tcPr>
            <w:tcW w:w="993" w:type="dxa"/>
            <w:noWrap/>
            <w:vAlign w:val="center"/>
          </w:tcPr>
          <w:p w14:paraId="686D0108" w14:textId="0CDDB18D"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2,7</w:t>
            </w:r>
          </w:p>
        </w:tc>
        <w:tc>
          <w:tcPr>
            <w:tcW w:w="993" w:type="dxa"/>
            <w:noWrap/>
            <w:vAlign w:val="center"/>
          </w:tcPr>
          <w:p w14:paraId="38CD8877" w14:textId="529ACB32"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3,0</w:t>
            </w:r>
          </w:p>
        </w:tc>
        <w:tc>
          <w:tcPr>
            <w:tcW w:w="993" w:type="dxa"/>
            <w:noWrap/>
            <w:vAlign w:val="center"/>
          </w:tcPr>
          <w:p w14:paraId="3FF92109" w14:textId="109E3F61"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2,5</w:t>
            </w:r>
          </w:p>
        </w:tc>
        <w:tc>
          <w:tcPr>
            <w:tcW w:w="993" w:type="dxa"/>
            <w:noWrap/>
            <w:vAlign w:val="center"/>
          </w:tcPr>
          <w:p w14:paraId="53752E02" w14:textId="64831570"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2,2</w:t>
            </w:r>
          </w:p>
        </w:tc>
      </w:tr>
      <w:tr w:rsidR="00A70308" w:rsidRPr="00D84B51" w14:paraId="79111508" w14:textId="77777777" w:rsidTr="00325CF0">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428C69EB" w14:textId="1F9721CB" w:rsidR="00A70308" w:rsidRPr="00D84B51" w:rsidRDefault="00A70308" w:rsidP="00A70308">
            <w:pPr>
              <w:spacing w:after="0"/>
              <w:rPr>
                <w:rFonts w:cs="Segoe UI Light"/>
                <w:sz w:val="20"/>
                <w:szCs w:val="20"/>
                <w:lang w:eastAsia="et-EE"/>
              </w:rPr>
            </w:pPr>
            <w:r w:rsidRPr="00D84B51">
              <w:rPr>
                <w:rFonts w:cs="Segoe UI Light"/>
                <w:color w:val="000000"/>
                <w:sz w:val="20"/>
                <w:szCs w:val="20"/>
                <w:lang w:eastAsia="et-EE"/>
              </w:rPr>
              <w:t>Tööpuudus %</w:t>
            </w:r>
          </w:p>
        </w:tc>
        <w:tc>
          <w:tcPr>
            <w:tcW w:w="993" w:type="dxa"/>
            <w:vAlign w:val="center"/>
          </w:tcPr>
          <w:p w14:paraId="1FC84679" w14:textId="3B45B6B6"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5,6</w:t>
            </w:r>
          </w:p>
        </w:tc>
        <w:tc>
          <w:tcPr>
            <w:tcW w:w="993" w:type="dxa"/>
            <w:noWrap/>
            <w:vAlign w:val="center"/>
          </w:tcPr>
          <w:p w14:paraId="61444B39" w14:textId="36340BCD"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6,1</w:t>
            </w:r>
          </w:p>
        </w:tc>
        <w:tc>
          <w:tcPr>
            <w:tcW w:w="993" w:type="dxa"/>
            <w:noWrap/>
            <w:vAlign w:val="center"/>
          </w:tcPr>
          <w:p w14:paraId="1406BD8D" w14:textId="1FC8906E"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6,7</w:t>
            </w:r>
          </w:p>
        </w:tc>
        <w:tc>
          <w:tcPr>
            <w:tcW w:w="993" w:type="dxa"/>
            <w:noWrap/>
            <w:vAlign w:val="center"/>
          </w:tcPr>
          <w:p w14:paraId="61A276A7" w14:textId="417D71B8"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6,4</w:t>
            </w:r>
          </w:p>
        </w:tc>
        <w:tc>
          <w:tcPr>
            <w:tcW w:w="993" w:type="dxa"/>
            <w:noWrap/>
            <w:vAlign w:val="center"/>
          </w:tcPr>
          <w:p w14:paraId="30AED9DB" w14:textId="51A06B09"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6,2</w:t>
            </w:r>
          </w:p>
        </w:tc>
        <w:tc>
          <w:tcPr>
            <w:tcW w:w="993" w:type="dxa"/>
            <w:noWrap/>
            <w:vAlign w:val="center"/>
          </w:tcPr>
          <w:p w14:paraId="3EE883B2" w14:textId="67E0B545"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6,1</w:t>
            </w:r>
          </w:p>
        </w:tc>
      </w:tr>
      <w:tr w:rsidR="00A70308" w:rsidRPr="00D84B51" w14:paraId="20EBCBC2" w14:textId="77777777" w:rsidTr="00325CF0">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F60DE27" w14:textId="56599958" w:rsidR="00A70308" w:rsidRPr="00D84B51" w:rsidRDefault="00A70308" w:rsidP="00A70308">
            <w:pPr>
              <w:spacing w:after="0"/>
              <w:rPr>
                <w:rFonts w:cs="Segoe UI Light"/>
                <w:sz w:val="20"/>
                <w:szCs w:val="20"/>
                <w:lang w:eastAsia="et-EE"/>
              </w:rPr>
            </w:pPr>
            <w:r w:rsidRPr="00D84B51">
              <w:rPr>
                <w:rFonts w:cs="Segoe UI Light"/>
                <w:color w:val="000000"/>
                <w:sz w:val="20"/>
                <w:szCs w:val="20"/>
                <w:lang w:eastAsia="et-EE"/>
              </w:rPr>
              <w:t>Inflatsioon %</w:t>
            </w:r>
          </w:p>
        </w:tc>
        <w:tc>
          <w:tcPr>
            <w:tcW w:w="993" w:type="dxa"/>
            <w:vAlign w:val="center"/>
          </w:tcPr>
          <w:p w14:paraId="62373696" w14:textId="671DFCAC"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19,4</w:t>
            </w:r>
          </w:p>
        </w:tc>
        <w:tc>
          <w:tcPr>
            <w:tcW w:w="993" w:type="dxa"/>
            <w:noWrap/>
            <w:vAlign w:val="center"/>
          </w:tcPr>
          <w:p w14:paraId="7B361013" w14:textId="5291F126"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9,6</w:t>
            </w:r>
          </w:p>
        </w:tc>
        <w:tc>
          <w:tcPr>
            <w:tcW w:w="993" w:type="dxa"/>
            <w:noWrap/>
            <w:vAlign w:val="center"/>
          </w:tcPr>
          <w:p w14:paraId="6413A535" w14:textId="16ADA518"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4,6</w:t>
            </w:r>
          </w:p>
        </w:tc>
        <w:tc>
          <w:tcPr>
            <w:tcW w:w="993" w:type="dxa"/>
            <w:noWrap/>
            <w:vAlign w:val="center"/>
          </w:tcPr>
          <w:p w14:paraId="60B5C947" w14:textId="7B188EAC"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2,5</w:t>
            </w:r>
          </w:p>
        </w:tc>
        <w:tc>
          <w:tcPr>
            <w:tcW w:w="993" w:type="dxa"/>
            <w:noWrap/>
            <w:vAlign w:val="center"/>
          </w:tcPr>
          <w:p w14:paraId="38F79FA1" w14:textId="72909FC0"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1,7</w:t>
            </w:r>
          </w:p>
        </w:tc>
        <w:tc>
          <w:tcPr>
            <w:tcW w:w="993" w:type="dxa"/>
            <w:noWrap/>
            <w:vAlign w:val="center"/>
          </w:tcPr>
          <w:p w14:paraId="0EB3C07A" w14:textId="05EAD1A2" w:rsidR="00A70308" w:rsidRPr="00D84B51" w:rsidRDefault="00A70308" w:rsidP="00A70308">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D84B51">
              <w:rPr>
                <w:rFonts w:cs="Calibri"/>
                <w:color w:val="000000"/>
              </w:rPr>
              <w:t>1,9</w:t>
            </w:r>
          </w:p>
        </w:tc>
      </w:tr>
      <w:tr w:rsidR="00A70308" w:rsidRPr="00D84B51" w14:paraId="4BF732BC" w14:textId="77777777" w:rsidTr="00325CF0">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10F4973D" w14:textId="7FB83D01" w:rsidR="00A70308" w:rsidRPr="00D84B51" w:rsidRDefault="00A70308" w:rsidP="00A70308">
            <w:pPr>
              <w:spacing w:after="0"/>
              <w:rPr>
                <w:rFonts w:cs="Segoe UI Light"/>
                <w:sz w:val="20"/>
                <w:szCs w:val="20"/>
                <w:lang w:eastAsia="et-EE"/>
              </w:rPr>
            </w:pPr>
            <w:r w:rsidRPr="00D84B51">
              <w:rPr>
                <w:rFonts w:cs="Segoe UI Light"/>
                <w:color w:val="000000"/>
                <w:sz w:val="20"/>
                <w:szCs w:val="20"/>
                <w:lang w:eastAsia="et-EE"/>
              </w:rPr>
              <w:t>Palgakasv %</w:t>
            </w:r>
          </w:p>
        </w:tc>
        <w:tc>
          <w:tcPr>
            <w:tcW w:w="993" w:type="dxa"/>
            <w:vAlign w:val="center"/>
          </w:tcPr>
          <w:p w14:paraId="125AB6C3" w14:textId="666066E6"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11,6</w:t>
            </w:r>
          </w:p>
        </w:tc>
        <w:tc>
          <w:tcPr>
            <w:tcW w:w="993" w:type="dxa"/>
            <w:noWrap/>
            <w:vAlign w:val="center"/>
          </w:tcPr>
          <w:p w14:paraId="3D2201C6" w14:textId="2CD12381"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11,2</w:t>
            </w:r>
          </w:p>
        </w:tc>
        <w:tc>
          <w:tcPr>
            <w:tcW w:w="993" w:type="dxa"/>
            <w:noWrap/>
            <w:vAlign w:val="center"/>
          </w:tcPr>
          <w:p w14:paraId="5CAAE5D7" w14:textId="7036A1E1"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6,6</w:t>
            </w:r>
          </w:p>
        </w:tc>
        <w:tc>
          <w:tcPr>
            <w:tcW w:w="993" w:type="dxa"/>
            <w:noWrap/>
            <w:vAlign w:val="center"/>
          </w:tcPr>
          <w:p w14:paraId="23404BF0" w14:textId="78121EEF"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5,3</w:t>
            </w:r>
          </w:p>
        </w:tc>
        <w:tc>
          <w:tcPr>
            <w:tcW w:w="993" w:type="dxa"/>
            <w:noWrap/>
            <w:vAlign w:val="center"/>
          </w:tcPr>
          <w:p w14:paraId="74AE0010" w14:textId="4243A3E5"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4,9</w:t>
            </w:r>
          </w:p>
        </w:tc>
        <w:tc>
          <w:tcPr>
            <w:tcW w:w="993" w:type="dxa"/>
            <w:noWrap/>
            <w:vAlign w:val="center"/>
          </w:tcPr>
          <w:p w14:paraId="524569C3" w14:textId="0EE50001" w:rsidR="00A70308" w:rsidRPr="00D84B51" w:rsidRDefault="00A70308" w:rsidP="00A70308">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D84B51">
              <w:rPr>
                <w:rFonts w:cs="Calibri"/>
                <w:color w:val="000000"/>
              </w:rPr>
              <w:t>4,5</w:t>
            </w:r>
          </w:p>
        </w:tc>
      </w:tr>
      <w:tr w:rsidR="00DF7023" w:rsidRPr="00D84B51" w14:paraId="0A4E10B2" w14:textId="77777777" w:rsidTr="00DF702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5CE2765F" w14:textId="77777777" w:rsidR="00DF7023" w:rsidRPr="00D84B51" w:rsidRDefault="00DF7023" w:rsidP="00DF7023">
            <w:pPr>
              <w:tabs>
                <w:tab w:val="left" w:pos="291"/>
              </w:tabs>
              <w:spacing w:after="0"/>
              <w:rPr>
                <w:rFonts w:cs="Segoe UI Light"/>
                <w:color w:val="000000"/>
                <w:sz w:val="20"/>
                <w:szCs w:val="20"/>
                <w:lang w:eastAsia="et-EE"/>
              </w:rPr>
            </w:pPr>
            <w:r w:rsidRPr="00D84B51">
              <w:rPr>
                <w:rFonts w:cs="Segoe UI Light"/>
                <w:color w:val="000000"/>
                <w:sz w:val="20"/>
                <w:szCs w:val="20"/>
                <w:lang w:eastAsia="et-EE"/>
              </w:rPr>
              <w:t>Valitsussektori:</w:t>
            </w:r>
          </w:p>
        </w:tc>
        <w:tc>
          <w:tcPr>
            <w:tcW w:w="993" w:type="dxa"/>
            <w:vAlign w:val="bottom"/>
          </w:tcPr>
          <w:p w14:paraId="76E40F53" w14:textId="77777777" w:rsidR="00DF7023" w:rsidRPr="00D84B51"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993" w:type="dxa"/>
            <w:noWrap/>
            <w:vAlign w:val="bottom"/>
          </w:tcPr>
          <w:p w14:paraId="262CCF47" w14:textId="77777777" w:rsidR="00DF7023" w:rsidRPr="00D84B51"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993" w:type="dxa"/>
            <w:noWrap/>
            <w:vAlign w:val="bottom"/>
          </w:tcPr>
          <w:p w14:paraId="20188E78" w14:textId="77777777" w:rsidR="00DF7023" w:rsidRPr="00D84B51"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993" w:type="dxa"/>
            <w:noWrap/>
            <w:vAlign w:val="bottom"/>
          </w:tcPr>
          <w:p w14:paraId="691E437E" w14:textId="77777777" w:rsidR="00DF7023" w:rsidRPr="00D84B51"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993" w:type="dxa"/>
            <w:noWrap/>
            <w:vAlign w:val="bottom"/>
          </w:tcPr>
          <w:p w14:paraId="491037ED" w14:textId="77777777" w:rsidR="00DF7023" w:rsidRPr="00D84B51"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993" w:type="dxa"/>
            <w:noWrap/>
            <w:vAlign w:val="bottom"/>
          </w:tcPr>
          <w:p w14:paraId="0E3E624E" w14:textId="77777777" w:rsidR="00DF7023" w:rsidRPr="00D84B51" w:rsidRDefault="00DF7023" w:rsidP="007A581E">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5D4BE2" w:rsidRPr="00D84B51" w14:paraId="658E8872" w14:textId="77777777" w:rsidTr="00A07BE5">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562286B" w14:textId="1E1E8473" w:rsidR="005D4BE2" w:rsidRPr="00D84B51" w:rsidRDefault="005D4BE2" w:rsidP="005D4BE2">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tulud kokku (mln eurot)</w:t>
            </w:r>
          </w:p>
        </w:tc>
        <w:tc>
          <w:tcPr>
            <w:tcW w:w="993" w:type="dxa"/>
            <w:vAlign w:val="center"/>
          </w:tcPr>
          <w:p w14:paraId="01B56DB6" w14:textId="1454F2B0"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13 932</w:t>
            </w:r>
          </w:p>
        </w:tc>
        <w:tc>
          <w:tcPr>
            <w:tcW w:w="993" w:type="dxa"/>
            <w:noWrap/>
            <w:vAlign w:val="center"/>
          </w:tcPr>
          <w:p w14:paraId="283E949E" w14:textId="013774C7"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15 428</w:t>
            </w:r>
          </w:p>
        </w:tc>
        <w:tc>
          <w:tcPr>
            <w:tcW w:w="993" w:type="dxa"/>
            <w:noWrap/>
            <w:vAlign w:val="center"/>
          </w:tcPr>
          <w:p w14:paraId="03D83F68" w14:textId="3A915BDA"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16 400</w:t>
            </w:r>
          </w:p>
        </w:tc>
        <w:tc>
          <w:tcPr>
            <w:tcW w:w="993" w:type="dxa"/>
            <w:noWrap/>
            <w:vAlign w:val="center"/>
          </w:tcPr>
          <w:p w14:paraId="1A052045" w14:textId="6D713144"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16 696</w:t>
            </w:r>
          </w:p>
        </w:tc>
        <w:tc>
          <w:tcPr>
            <w:tcW w:w="993" w:type="dxa"/>
            <w:noWrap/>
            <w:vAlign w:val="center"/>
          </w:tcPr>
          <w:p w14:paraId="51B3C657" w14:textId="71558433"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17 647</w:t>
            </w:r>
          </w:p>
        </w:tc>
        <w:tc>
          <w:tcPr>
            <w:tcW w:w="993" w:type="dxa"/>
            <w:noWrap/>
            <w:vAlign w:val="center"/>
          </w:tcPr>
          <w:p w14:paraId="78CCD82F" w14:textId="19885310"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18 058</w:t>
            </w:r>
          </w:p>
        </w:tc>
      </w:tr>
      <w:tr w:rsidR="005D4BE2" w:rsidRPr="00D84B51" w14:paraId="59282C20" w14:textId="77777777" w:rsidTr="00A07BE5">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2815638B" w14:textId="4F827B8C" w:rsidR="005D4BE2" w:rsidRPr="00D84B51" w:rsidRDefault="005D4BE2" w:rsidP="005D4BE2">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kulud kokku (mln eurot)</w:t>
            </w:r>
          </w:p>
        </w:tc>
        <w:tc>
          <w:tcPr>
            <w:tcW w:w="993" w:type="dxa"/>
            <w:vAlign w:val="center"/>
          </w:tcPr>
          <w:p w14:paraId="57989513" w14:textId="06A6539D"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14 267</w:t>
            </w:r>
          </w:p>
        </w:tc>
        <w:tc>
          <w:tcPr>
            <w:tcW w:w="993" w:type="dxa"/>
            <w:noWrap/>
            <w:vAlign w:val="center"/>
          </w:tcPr>
          <w:p w14:paraId="139BE1FB" w14:textId="46F7C4F4"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16 704</w:t>
            </w:r>
          </w:p>
        </w:tc>
        <w:tc>
          <w:tcPr>
            <w:tcW w:w="993" w:type="dxa"/>
            <w:noWrap/>
            <w:vAlign w:val="center"/>
          </w:tcPr>
          <w:p w14:paraId="5E39191F" w14:textId="330E5AB8"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17 604</w:t>
            </w:r>
          </w:p>
        </w:tc>
        <w:tc>
          <w:tcPr>
            <w:tcW w:w="993" w:type="dxa"/>
            <w:noWrap/>
            <w:vAlign w:val="center"/>
          </w:tcPr>
          <w:p w14:paraId="4F85AA47" w14:textId="49AC9E40"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18 493</w:t>
            </w:r>
          </w:p>
        </w:tc>
        <w:tc>
          <w:tcPr>
            <w:tcW w:w="993" w:type="dxa"/>
            <w:noWrap/>
            <w:vAlign w:val="center"/>
          </w:tcPr>
          <w:p w14:paraId="55E254D6" w14:textId="744D8674"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19 555</w:t>
            </w:r>
          </w:p>
        </w:tc>
        <w:tc>
          <w:tcPr>
            <w:tcW w:w="993" w:type="dxa"/>
            <w:noWrap/>
            <w:vAlign w:val="center"/>
          </w:tcPr>
          <w:p w14:paraId="66DD76EC" w14:textId="7C0EEDA6"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20 173</w:t>
            </w:r>
          </w:p>
        </w:tc>
      </w:tr>
      <w:tr w:rsidR="005D4BE2" w:rsidRPr="00D84B51" w14:paraId="5C2EB53D" w14:textId="77777777" w:rsidTr="009F0CEA">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7531B325" w14:textId="53390B90" w:rsidR="005D4BE2" w:rsidRPr="00D84B51" w:rsidRDefault="005D4BE2" w:rsidP="005D4BE2">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ülejääk/puudujääk (mln eurot)</w:t>
            </w:r>
          </w:p>
        </w:tc>
        <w:tc>
          <w:tcPr>
            <w:tcW w:w="993" w:type="dxa"/>
            <w:vAlign w:val="center"/>
          </w:tcPr>
          <w:p w14:paraId="0EB28562" w14:textId="3BDCEDD5" w:rsidR="005D4BE2" w:rsidRPr="00A906DE"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-335</w:t>
            </w:r>
          </w:p>
        </w:tc>
        <w:tc>
          <w:tcPr>
            <w:tcW w:w="993" w:type="dxa"/>
            <w:noWrap/>
            <w:vAlign w:val="center"/>
          </w:tcPr>
          <w:p w14:paraId="71B3CCA7" w14:textId="0EB53421" w:rsidR="005D4BE2" w:rsidRPr="00A906DE"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-1 275</w:t>
            </w:r>
          </w:p>
        </w:tc>
        <w:tc>
          <w:tcPr>
            <w:tcW w:w="993" w:type="dxa"/>
            <w:noWrap/>
            <w:vAlign w:val="center"/>
          </w:tcPr>
          <w:p w14:paraId="19BF0A85" w14:textId="31306F10" w:rsidR="005D4BE2" w:rsidRPr="00A906DE"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-1 204</w:t>
            </w:r>
          </w:p>
        </w:tc>
        <w:tc>
          <w:tcPr>
            <w:tcW w:w="993" w:type="dxa"/>
            <w:noWrap/>
            <w:vAlign w:val="center"/>
          </w:tcPr>
          <w:p w14:paraId="510360DD" w14:textId="6534C024" w:rsidR="005D4BE2" w:rsidRPr="00A906DE"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-1 797</w:t>
            </w:r>
          </w:p>
        </w:tc>
        <w:tc>
          <w:tcPr>
            <w:tcW w:w="993" w:type="dxa"/>
            <w:noWrap/>
            <w:vAlign w:val="center"/>
          </w:tcPr>
          <w:p w14:paraId="09A7E23E" w14:textId="4F1DE44F" w:rsidR="005D4BE2" w:rsidRPr="00A906DE"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-1 908</w:t>
            </w:r>
          </w:p>
        </w:tc>
        <w:tc>
          <w:tcPr>
            <w:tcW w:w="993" w:type="dxa"/>
            <w:noWrap/>
            <w:vAlign w:val="center"/>
          </w:tcPr>
          <w:p w14:paraId="089F23D7" w14:textId="696FCF04" w:rsidR="005D4BE2" w:rsidRPr="00A906DE"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-2 115</w:t>
            </w:r>
          </w:p>
        </w:tc>
      </w:tr>
      <w:tr w:rsidR="005D4BE2" w:rsidRPr="00D84B51" w14:paraId="64B445CA" w14:textId="77777777" w:rsidTr="008864C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312798A6" w14:textId="397D39CC" w:rsidR="005D4BE2" w:rsidRPr="00D84B51" w:rsidRDefault="005D4BE2" w:rsidP="005D4BE2">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nominaalne eelarvepositsioon (% SKP)</w:t>
            </w:r>
          </w:p>
        </w:tc>
        <w:tc>
          <w:tcPr>
            <w:tcW w:w="993" w:type="dxa"/>
            <w:vAlign w:val="center"/>
          </w:tcPr>
          <w:p w14:paraId="5717D6F2" w14:textId="0A9BB7C5"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-0,9</w:t>
            </w:r>
          </w:p>
        </w:tc>
        <w:tc>
          <w:tcPr>
            <w:tcW w:w="993" w:type="dxa"/>
            <w:noWrap/>
            <w:vAlign w:val="center"/>
          </w:tcPr>
          <w:p w14:paraId="489DD60F" w14:textId="0FF6EA28"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-3,3</w:t>
            </w:r>
          </w:p>
        </w:tc>
        <w:tc>
          <w:tcPr>
            <w:tcW w:w="993" w:type="dxa"/>
            <w:noWrap/>
            <w:vAlign w:val="center"/>
          </w:tcPr>
          <w:p w14:paraId="6A29D69D" w14:textId="2100411B"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-2,9</w:t>
            </w:r>
          </w:p>
        </w:tc>
        <w:tc>
          <w:tcPr>
            <w:tcW w:w="993" w:type="dxa"/>
            <w:noWrap/>
            <w:vAlign w:val="center"/>
          </w:tcPr>
          <w:p w14:paraId="621B24B8" w14:textId="09F871AC"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-4,1</w:t>
            </w:r>
          </w:p>
        </w:tc>
        <w:tc>
          <w:tcPr>
            <w:tcW w:w="993" w:type="dxa"/>
            <w:noWrap/>
            <w:vAlign w:val="center"/>
          </w:tcPr>
          <w:p w14:paraId="465C7EF6" w14:textId="3AFBAFEC"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-4,2</w:t>
            </w:r>
          </w:p>
        </w:tc>
        <w:tc>
          <w:tcPr>
            <w:tcW w:w="993" w:type="dxa"/>
            <w:noWrap/>
            <w:vAlign w:val="center"/>
          </w:tcPr>
          <w:p w14:paraId="657F6E38" w14:textId="52BD50CD"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-4,4</w:t>
            </w:r>
          </w:p>
        </w:tc>
      </w:tr>
      <w:tr w:rsidR="005D4BE2" w:rsidRPr="00D84B51" w14:paraId="704B9A5C" w14:textId="77777777" w:rsidTr="008864C2">
        <w:trPr>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72E6425A" w14:textId="5C806668" w:rsidR="005D4BE2" w:rsidRPr="00D84B51" w:rsidRDefault="005D4BE2" w:rsidP="005D4BE2">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struktuurne eelarvepositsioon (% SKP)</w:t>
            </w:r>
          </w:p>
        </w:tc>
        <w:tc>
          <w:tcPr>
            <w:tcW w:w="993" w:type="dxa"/>
            <w:vAlign w:val="center"/>
          </w:tcPr>
          <w:p w14:paraId="068C6D16" w14:textId="33618AD0"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-0,8</w:t>
            </w:r>
          </w:p>
        </w:tc>
        <w:tc>
          <w:tcPr>
            <w:tcW w:w="993" w:type="dxa"/>
            <w:noWrap/>
            <w:vAlign w:val="center"/>
          </w:tcPr>
          <w:p w14:paraId="5441982B" w14:textId="5332AD62"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-1,2</w:t>
            </w:r>
          </w:p>
        </w:tc>
        <w:tc>
          <w:tcPr>
            <w:tcW w:w="993" w:type="dxa"/>
            <w:noWrap/>
            <w:vAlign w:val="center"/>
          </w:tcPr>
          <w:p w14:paraId="737785C8" w14:textId="5A535695"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-1,3</w:t>
            </w:r>
          </w:p>
        </w:tc>
        <w:tc>
          <w:tcPr>
            <w:tcW w:w="993" w:type="dxa"/>
            <w:noWrap/>
            <w:vAlign w:val="center"/>
          </w:tcPr>
          <w:p w14:paraId="4B543388" w14:textId="4EBE764C"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-3,2</w:t>
            </w:r>
          </w:p>
        </w:tc>
        <w:tc>
          <w:tcPr>
            <w:tcW w:w="993" w:type="dxa"/>
            <w:noWrap/>
            <w:vAlign w:val="center"/>
          </w:tcPr>
          <w:p w14:paraId="7849B534" w14:textId="04E270A1"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-3,7</w:t>
            </w:r>
          </w:p>
        </w:tc>
        <w:tc>
          <w:tcPr>
            <w:tcW w:w="993" w:type="dxa"/>
            <w:noWrap/>
            <w:vAlign w:val="center"/>
          </w:tcPr>
          <w:p w14:paraId="3EB99310" w14:textId="7FEE7CF4" w:rsidR="005D4BE2" w:rsidRPr="00D84B51" w:rsidRDefault="005D4BE2" w:rsidP="005D4BE2">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A906DE">
              <w:rPr>
                <w:rFonts w:cs="Calibri"/>
                <w:color w:val="000000"/>
              </w:rPr>
              <w:t>-4,3</w:t>
            </w:r>
          </w:p>
        </w:tc>
      </w:tr>
      <w:tr w:rsidR="005D4BE2" w:rsidRPr="00D84B51" w14:paraId="65F0C511" w14:textId="77777777" w:rsidTr="00C54B0A">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5DDE6D49" w14:textId="77777777" w:rsidR="005D4BE2" w:rsidRPr="00D84B51" w:rsidRDefault="005D4BE2" w:rsidP="005D4BE2">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 xml:space="preserve">kumulatiivne struktuurne </w:t>
            </w:r>
          </w:p>
          <w:p w14:paraId="1F6DBB8D" w14:textId="391370D9" w:rsidR="005D4BE2" w:rsidRPr="00D84B51" w:rsidRDefault="005D4BE2" w:rsidP="005D4BE2">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eelarvepositsioon (% SKP)</w:t>
            </w:r>
          </w:p>
        </w:tc>
        <w:tc>
          <w:tcPr>
            <w:tcW w:w="993" w:type="dxa"/>
            <w:vAlign w:val="center"/>
          </w:tcPr>
          <w:p w14:paraId="4FC0DB13" w14:textId="6D8EF06D"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-9,0</w:t>
            </w:r>
          </w:p>
        </w:tc>
        <w:tc>
          <w:tcPr>
            <w:tcW w:w="993" w:type="dxa"/>
            <w:noWrap/>
            <w:vAlign w:val="center"/>
          </w:tcPr>
          <w:p w14:paraId="34A1535A" w14:textId="68B9DF39"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-9,5</w:t>
            </w:r>
          </w:p>
        </w:tc>
        <w:tc>
          <w:tcPr>
            <w:tcW w:w="993" w:type="dxa"/>
            <w:noWrap/>
            <w:vAlign w:val="center"/>
          </w:tcPr>
          <w:p w14:paraId="2C07694E" w14:textId="78D59807" w:rsidR="005D4BE2" w:rsidRPr="00D84B51"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-10,2</w:t>
            </w:r>
          </w:p>
        </w:tc>
        <w:tc>
          <w:tcPr>
            <w:tcW w:w="993" w:type="dxa"/>
            <w:noWrap/>
            <w:vAlign w:val="center"/>
          </w:tcPr>
          <w:p w14:paraId="335FA55C" w14:textId="7F5F74E4" w:rsidR="005D4BE2" w:rsidRPr="00A906DE"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-12,9</w:t>
            </w:r>
          </w:p>
        </w:tc>
        <w:tc>
          <w:tcPr>
            <w:tcW w:w="993" w:type="dxa"/>
            <w:noWrap/>
            <w:vAlign w:val="center"/>
          </w:tcPr>
          <w:p w14:paraId="775793F5" w14:textId="7FA1F4D3" w:rsidR="005D4BE2" w:rsidRPr="00A906DE"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-16,0</w:t>
            </w:r>
          </w:p>
        </w:tc>
        <w:tc>
          <w:tcPr>
            <w:tcW w:w="993" w:type="dxa"/>
            <w:noWrap/>
            <w:vAlign w:val="center"/>
          </w:tcPr>
          <w:p w14:paraId="75D42087" w14:textId="6A635D10" w:rsidR="005D4BE2" w:rsidRPr="00A906DE" w:rsidRDefault="005D4BE2" w:rsidP="005D4BE2">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A906DE">
              <w:rPr>
                <w:rFonts w:cs="Calibri"/>
                <w:color w:val="000000"/>
              </w:rPr>
              <w:t>-19,6</w:t>
            </w:r>
          </w:p>
        </w:tc>
      </w:tr>
      <w:tr w:rsidR="0028401A" w:rsidRPr="00D84B51" w14:paraId="43B27F0D" w14:textId="77777777" w:rsidTr="008864C2">
        <w:trPr>
          <w:trHeight w:val="266"/>
        </w:trPr>
        <w:tc>
          <w:tcPr>
            <w:cnfStyle w:val="001000000000" w:firstRow="0" w:lastRow="0" w:firstColumn="1" w:lastColumn="0" w:oddVBand="0" w:evenVBand="0" w:oddHBand="0" w:evenHBand="0" w:firstRowFirstColumn="0" w:firstRowLastColumn="0" w:lastRowFirstColumn="0" w:lastRowLastColumn="0"/>
            <w:tcW w:w="3684" w:type="dxa"/>
            <w:noWrap/>
            <w:hideMark/>
          </w:tcPr>
          <w:p w14:paraId="60C4F7EA" w14:textId="7D90CAFB" w:rsidR="0028401A" w:rsidRPr="00D84B51" w:rsidRDefault="0028401A" w:rsidP="0028401A">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võlakoormus (% SKP)</w:t>
            </w:r>
          </w:p>
        </w:tc>
        <w:tc>
          <w:tcPr>
            <w:tcW w:w="993" w:type="dxa"/>
            <w:vAlign w:val="center"/>
          </w:tcPr>
          <w:p w14:paraId="7F67A492" w14:textId="785A608C" w:rsidR="0028401A" w:rsidRPr="00A906DE" w:rsidRDefault="0028401A" w:rsidP="0028401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28401A">
              <w:rPr>
                <w:rFonts w:cs="Calibri"/>
                <w:color w:val="000000"/>
              </w:rPr>
              <w:t>18,5</w:t>
            </w:r>
          </w:p>
        </w:tc>
        <w:tc>
          <w:tcPr>
            <w:tcW w:w="993" w:type="dxa"/>
            <w:noWrap/>
            <w:vAlign w:val="center"/>
          </w:tcPr>
          <w:p w14:paraId="462169B4" w14:textId="3E36C2DC" w:rsidR="0028401A" w:rsidRPr="00A906DE" w:rsidRDefault="0028401A" w:rsidP="0028401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28401A">
              <w:rPr>
                <w:rFonts w:cs="Calibri"/>
                <w:color w:val="000000"/>
              </w:rPr>
              <w:t>19,4</w:t>
            </w:r>
          </w:p>
        </w:tc>
        <w:tc>
          <w:tcPr>
            <w:tcW w:w="993" w:type="dxa"/>
            <w:noWrap/>
            <w:vAlign w:val="center"/>
          </w:tcPr>
          <w:p w14:paraId="0AE0F131" w14:textId="55DE5041" w:rsidR="0028401A" w:rsidRPr="00A906DE" w:rsidRDefault="0028401A" w:rsidP="0028401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28401A">
              <w:rPr>
                <w:rFonts w:cs="Calibri"/>
                <w:color w:val="000000"/>
              </w:rPr>
              <w:t>21,8</w:t>
            </w:r>
          </w:p>
        </w:tc>
        <w:tc>
          <w:tcPr>
            <w:tcW w:w="993" w:type="dxa"/>
            <w:noWrap/>
            <w:vAlign w:val="center"/>
          </w:tcPr>
          <w:p w14:paraId="72918D42" w14:textId="4CB9C1C0" w:rsidR="0028401A" w:rsidRPr="00A906DE" w:rsidRDefault="0028401A" w:rsidP="0028401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28401A">
              <w:rPr>
                <w:rFonts w:cs="Calibri"/>
                <w:color w:val="000000"/>
              </w:rPr>
              <w:t>25,0</w:t>
            </w:r>
          </w:p>
        </w:tc>
        <w:tc>
          <w:tcPr>
            <w:tcW w:w="993" w:type="dxa"/>
            <w:noWrap/>
            <w:vAlign w:val="center"/>
          </w:tcPr>
          <w:p w14:paraId="54E5207A" w14:textId="0D4AD16C" w:rsidR="0028401A" w:rsidRPr="00A906DE" w:rsidRDefault="0028401A" w:rsidP="0028401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28401A">
              <w:rPr>
                <w:rFonts w:cs="Calibri"/>
                <w:color w:val="000000"/>
              </w:rPr>
              <w:t>27,6</w:t>
            </w:r>
          </w:p>
        </w:tc>
        <w:tc>
          <w:tcPr>
            <w:tcW w:w="993" w:type="dxa"/>
            <w:noWrap/>
            <w:vAlign w:val="center"/>
          </w:tcPr>
          <w:p w14:paraId="751BB9C4" w14:textId="0A50DA94" w:rsidR="0028401A" w:rsidRPr="00A906DE" w:rsidRDefault="0028401A" w:rsidP="0028401A">
            <w:pPr>
              <w:pStyle w:val="Tabelitekst"/>
              <w:jc w:val="right"/>
              <w:cnfStyle w:val="000000000000" w:firstRow="0" w:lastRow="0" w:firstColumn="0" w:lastColumn="0" w:oddVBand="0" w:evenVBand="0" w:oddHBand="0" w:evenHBand="0" w:firstRowFirstColumn="0" w:firstRowLastColumn="0" w:lastRowFirstColumn="0" w:lastRowLastColumn="0"/>
              <w:rPr>
                <w:rFonts w:cs="Calibri"/>
                <w:color w:val="000000"/>
              </w:rPr>
            </w:pPr>
            <w:r w:rsidRPr="0028401A">
              <w:rPr>
                <w:rFonts w:cs="Calibri"/>
                <w:color w:val="000000"/>
              </w:rPr>
              <w:t>30,4</w:t>
            </w:r>
          </w:p>
        </w:tc>
      </w:tr>
      <w:tr w:rsidR="0028401A" w:rsidRPr="00D84B51" w14:paraId="22D21E67" w14:textId="77777777" w:rsidTr="008864C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3684" w:type="dxa"/>
            <w:noWrap/>
          </w:tcPr>
          <w:p w14:paraId="55005F72" w14:textId="6BD74CCF" w:rsidR="0028401A" w:rsidRPr="00D84B51" w:rsidRDefault="0028401A" w:rsidP="0028401A">
            <w:pPr>
              <w:tabs>
                <w:tab w:val="left" w:pos="291"/>
              </w:tabs>
              <w:spacing w:after="0"/>
              <w:jc w:val="right"/>
              <w:rPr>
                <w:rFonts w:cs="Segoe UI Light"/>
                <w:color w:val="000000"/>
                <w:sz w:val="20"/>
                <w:szCs w:val="20"/>
                <w:lang w:eastAsia="et-EE"/>
              </w:rPr>
            </w:pPr>
            <w:r w:rsidRPr="00D84B51">
              <w:rPr>
                <w:rFonts w:cs="Segoe UI Light"/>
                <w:color w:val="000000"/>
                <w:sz w:val="20"/>
                <w:szCs w:val="20"/>
                <w:lang w:eastAsia="et-EE"/>
              </w:rPr>
              <w:t>reserv kokku (% SKP)</w:t>
            </w:r>
          </w:p>
        </w:tc>
        <w:tc>
          <w:tcPr>
            <w:tcW w:w="993" w:type="dxa"/>
            <w:vAlign w:val="center"/>
          </w:tcPr>
          <w:p w14:paraId="0A5A80A5" w14:textId="2AAD7A42" w:rsidR="0028401A" w:rsidRPr="00D84B51" w:rsidRDefault="0028401A" w:rsidP="0028401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28401A">
              <w:rPr>
                <w:rFonts w:cs="Calibri"/>
                <w:color w:val="000000"/>
              </w:rPr>
              <w:t>11,1</w:t>
            </w:r>
          </w:p>
        </w:tc>
        <w:tc>
          <w:tcPr>
            <w:tcW w:w="993" w:type="dxa"/>
            <w:noWrap/>
            <w:vAlign w:val="center"/>
          </w:tcPr>
          <w:p w14:paraId="4D05E074" w14:textId="698AC739" w:rsidR="0028401A" w:rsidRPr="00D84B51" w:rsidRDefault="0028401A" w:rsidP="0028401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28401A">
              <w:rPr>
                <w:rFonts w:cs="Calibri"/>
                <w:color w:val="000000"/>
              </w:rPr>
              <w:t>7,3</w:t>
            </w:r>
          </w:p>
        </w:tc>
        <w:tc>
          <w:tcPr>
            <w:tcW w:w="993" w:type="dxa"/>
            <w:noWrap/>
            <w:vAlign w:val="center"/>
          </w:tcPr>
          <w:p w14:paraId="7580A9EA" w14:textId="6CCE0671" w:rsidR="0028401A" w:rsidRPr="00D84B51" w:rsidRDefault="0028401A" w:rsidP="0028401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28401A">
              <w:rPr>
                <w:rFonts w:cs="Calibri"/>
                <w:color w:val="000000"/>
              </w:rPr>
              <w:t>6,9</w:t>
            </w:r>
          </w:p>
        </w:tc>
        <w:tc>
          <w:tcPr>
            <w:tcW w:w="993" w:type="dxa"/>
            <w:noWrap/>
            <w:vAlign w:val="center"/>
          </w:tcPr>
          <w:p w14:paraId="640365CD" w14:textId="63BBD0BF" w:rsidR="0028401A" w:rsidRPr="00D84B51" w:rsidRDefault="0028401A" w:rsidP="0028401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28401A">
              <w:rPr>
                <w:rFonts w:cs="Calibri"/>
                <w:color w:val="000000"/>
              </w:rPr>
              <w:t>6,8</w:t>
            </w:r>
          </w:p>
        </w:tc>
        <w:tc>
          <w:tcPr>
            <w:tcW w:w="993" w:type="dxa"/>
            <w:noWrap/>
            <w:vAlign w:val="center"/>
          </w:tcPr>
          <w:p w14:paraId="7165439C" w14:textId="482B675B" w:rsidR="0028401A" w:rsidRPr="00D84B51" w:rsidRDefault="0028401A" w:rsidP="0028401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28401A">
              <w:rPr>
                <w:rFonts w:cs="Calibri"/>
                <w:color w:val="000000"/>
              </w:rPr>
              <w:t>6,6</w:t>
            </w:r>
          </w:p>
        </w:tc>
        <w:tc>
          <w:tcPr>
            <w:tcW w:w="993" w:type="dxa"/>
            <w:noWrap/>
            <w:vAlign w:val="center"/>
          </w:tcPr>
          <w:p w14:paraId="54DFA537" w14:textId="6E69AA57" w:rsidR="0028401A" w:rsidRPr="00D84B51" w:rsidRDefault="0028401A" w:rsidP="0028401A">
            <w:pPr>
              <w:pStyle w:val="Tabelitekst"/>
              <w:jc w:val="right"/>
              <w:cnfStyle w:val="000000100000" w:firstRow="0" w:lastRow="0" w:firstColumn="0" w:lastColumn="0" w:oddVBand="0" w:evenVBand="0" w:oddHBand="1" w:evenHBand="0" w:firstRowFirstColumn="0" w:firstRowLastColumn="0" w:lastRowFirstColumn="0" w:lastRowLastColumn="0"/>
              <w:rPr>
                <w:rFonts w:cs="Calibri"/>
                <w:color w:val="000000"/>
              </w:rPr>
            </w:pPr>
            <w:r w:rsidRPr="0028401A">
              <w:rPr>
                <w:rFonts w:cs="Calibri"/>
                <w:color w:val="000000"/>
              </w:rPr>
              <w:t>6,5</w:t>
            </w:r>
          </w:p>
        </w:tc>
      </w:tr>
    </w:tbl>
    <w:p w14:paraId="31C0F076" w14:textId="6A7A2B5B" w:rsidR="00BF762C" w:rsidRPr="00582AF5" w:rsidRDefault="00BF762C" w:rsidP="006A5CB8">
      <w:pPr>
        <w:pStyle w:val="Mrkus"/>
      </w:pPr>
      <w:r w:rsidRPr="00D84B51">
        <w:t>Allika</w:t>
      </w:r>
      <w:r w:rsidR="006A5CB8" w:rsidRPr="00D84B51">
        <w:t>s</w:t>
      </w:r>
      <w:r w:rsidRPr="00D84B51">
        <w:t xml:space="preserve">: Rahandusministeeriumi </w:t>
      </w:r>
      <w:r w:rsidR="00D84B51">
        <w:t>suvine</w:t>
      </w:r>
      <w:r w:rsidR="003D57CA" w:rsidRPr="00D84B51">
        <w:t xml:space="preserve"> </w:t>
      </w:r>
      <w:r w:rsidRPr="00D84B51">
        <w:t>prognoos</w:t>
      </w:r>
    </w:p>
    <w:p w14:paraId="640503B3" w14:textId="325AC998" w:rsidR="004567A8" w:rsidRPr="00582AF5" w:rsidRDefault="004567A8" w:rsidP="006A5CB8">
      <w:pPr>
        <w:pStyle w:val="Mrkus"/>
        <w:rPr>
          <w:b/>
        </w:rPr>
        <w:sectPr w:rsidR="004567A8" w:rsidRPr="00582AF5" w:rsidSect="0093189D">
          <w:endnotePr>
            <w:numFmt w:val="decimal"/>
          </w:endnotePr>
          <w:pgSz w:w="11906" w:h="16838"/>
          <w:pgMar w:top="964" w:right="964" w:bottom="964" w:left="964" w:header="709" w:footer="709" w:gutter="0"/>
          <w:cols w:space="708"/>
          <w:docGrid w:linePitch="360"/>
        </w:sectPr>
      </w:pPr>
    </w:p>
    <w:p w14:paraId="5FF36D4C" w14:textId="77777777" w:rsidR="002E2625" w:rsidRPr="00C647A6" w:rsidRDefault="002E2625" w:rsidP="002E2625">
      <w:pPr>
        <w:pStyle w:val="Phitekst"/>
      </w:pPr>
      <w:r w:rsidRPr="00C647A6">
        <w:rPr>
          <w:b/>
          <w:bCs/>
        </w:rPr>
        <w:t xml:space="preserve">Majandusolud on pärast sõja puhkemist Eestis ja lähiriikides olnud keerulised. </w:t>
      </w:r>
      <w:r w:rsidRPr="00C647A6">
        <w:t>Majandusliku kindlustunde indikaatorid ja nendega käsikäes käiv majanduskasv on viimase pooleteise aasta jooksul liikunud allamäge. EL riikide majanduskasvu on pärssinud energia kiire hinnatõus ning sõjast tingitud kaubanduspiirangud. Eestit kui piiriäärset majandust on idakaubanduse järsk langus mõjutanud keskmi</w:t>
      </w:r>
      <w:r w:rsidRPr="00C647A6">
        <w:softHyphen/>
        <w:t>sest rohkem. Eesti kui suure ekspordi osakaaluga majanduse jaoks teeb olukorra keeruliseks EL keskmisest selgelt kehvem olukord meie lähinaabrite juures. 2022. aastal oli Eesti majandus statistika järgi ainukesena ELis languses ja langus on jätkunud ka sellel aastal.</w:t>
      </w:r>
    </w:p>
    <w:p w14:paraId="18B4E669" w14:textId="171739C4" w:rsidR="002E2625" w:rsidRPr="00C647A6" w:rsidRDefault="002E2625" w:rsidP="002E2625">
      <w:pPr>
        <w:pStyle w:val="Phitekst"/>
      </w:pPr>
      <w:r w:rsidRPr="00C647A6">
        <w:rPr>
          <w:b/>
          <w:bCs/>
        </w:rPr>
        <w:t>Mitmete näitajate järgi on Eesti majandus viimaste aastate kriisidele siiski hästi vastu pidanud.</w:t>
      </w:r>
      <w:r w:rsidRPr="00C647A6">
        <w:t xml:space="preserve"> Töötuse kasv sõja algusest on olnud mõõdukas ja paljuski seotud põgenike saabumisega, kes on tööturul olnud aktiivsed. Ettevõtted on suutnud kasvanud sisend</w:t>
      </w:r>
      <w:r w:rsidRPr="00C647A6">
        <w:softHyphen/>
        <w:t>hinnad väljamüügihindadesse enamasti üle kanda, kasumlikkust isegi kasvatades. Samal ajal on palgad kasvanud suhteliselt kiiresti, keskmiselt üle 10% aastas, kuigi hinnatõusule on see kasv kuni viimase ajani alla jäänud. 2022. aastal, pea 20% hinnatõusu tingimustes</w:t>
      </w:r>
      <w:r w:rsidR="00DE164D">
        <w:t>,</w:t>
      </w:r>
      <w:r w:rsidRPr="00C647A6">
        <w:t xml:space="preserve"> õnnestus elanikkonnal tervikuna oma tarbimise taset kasvatada, kuigi reaalsissetulekud vähenesid oluliselt. Sellele aitasid kaasa viirusekriisi </w:t>
      </w:r>
      <w:r w:rsidRPr="00C647A6">
        <w:t>aegsete piirangute ajal kogunenud säästud ja pensioni II samba varade kasutuselevõtmine.</w:t>
      </w:r>
    </w:p>
    <w:p w14:paraId="6EF80FE6" w14:textId="183E8F88" w:rsidR="002E2625" w:rsidRPr="00C647A6" w:rsidRDefault="002E2625" w:rsidP="002E2625">
      <w:pPr>
        <w:pStyle w:val="Phitekst"/>
      </w:pPr>
      <w:r w:rsidRPr="00C647A6">
        <w:rPr>
          <w:b/>
          <w:bCs/>
        </w:rPr>
        <w:t>Kevadega võrreldes on majandusarengu väljavaated lähemaks aastaks muutunud pessimistlikumaks.</w:t>
      </w:r>
      <w:r w:rsidRPr="00C647A6">
        <w:t xml:space="preserve"> Kevadist prognoosi tehes oli majanduskonjunktuur enamik</w:t>
      </w:r>
      <w:r w:rsidR="00DE164D">
        <w:t>u</w:t>
      </w:r>
      <w:r w:rsidRPr="00C647A6">
        <w:t>s EL riikides pöördunud kergele tõusule, andes lootust majanduskasvu peatsest taastumist. Sellest ajast alates aga on majanduskliima enamikus EL riikides, nagu ka Eestis, hakanud taas jahenema. ELis on jahenemine kõige jõulisem Saksamaal, mis on seotud Hiina majanduse raskustega. Eesti jaoks on kõige problemaatilisem nõudluse järsk langus Põhjamaade kinnisvara- ja ehitussektoris, millele on orienteeritud suur osa kohalikust puidu- ja mööblitööstusest.</w:t>
      </w:r>
    </w:p>
    <w:p w14:paraId="3D86EEE1" w14:textId="77777777" w:rsidR="002E2625" w:rsidRPr="00C647A6" w:rsidRDefault="002E2625" w:rsidP="002E2625">
      <w:pPr>
        <w:pStyle w:val="Phitekst"/>
      </w:pPr>
      <w:r w:rsidRPr="00C647A6">
        <w:rPr>
          <w:b/>
          <w:bCs/>
        </w:rPr>
        <w:t>Nõrk välisnõudlus ja tootmissisendite kiirelt kasvanud hinnad hoiavad Eesti majanduse languses ka 2023. aastal.</w:t>
      </w:r>
      <w:r w:rsidRPr="00C647A6">
        <w:t xml:space="preserve"> Eesti eksport on eelkõige nõrga välisnõudluse ja transiitkaubanduse kadumise tõttu 2023. aastal selges languses. Kevadel oodatud konjunktuuri paranemine on praeguseks lükkunud 2024. aastasse, mis koos ettevõtete kohanemisega peaks taastama ka ekspordi kasvu. 2023. aastal on oodata 2% majanduslangust, kuid järgneval paaril aastal juba pea 3% tõusu.</w:t>
      </w:r>
    </w:p>
    <w:p w14:paraId="7C86FF2F" w14:textId="331508DB" w:rsidR="002E2625" w:rsidRPr="00C647A6" w:rsidRDefault="002E2625" w:rsidP="002E2625">
      <w:pPr>
        <w:pStyle w:val="Phitekst"/>
      </w:pPr>
      <w:r w:rsidRPr="00C647A6">
        <w:rPr>
          <w:b/>
          <w:bCs/>
        </w:rPr>
        <w:lastRenderedPageBreak/>
        <w:t>Hinnatõus aeglustub 2023. aasta jooksul kiiresti, jõudes aasta lõpuks alla 6% aastases võrdluses.</w:t>
      </w:r>
      <w:r w:rsidRPr="00C647A6">
        <w:t xml:space="preserve"> See tähendab, et palga- ja pensionitulu ostujõud aasta kokkuvõttes suureneb. Eluasemega seotud kulude hinnatõus aeglustub energiahindade langusele pöördudes juba sellel aastal oluliselt, kuid toiduainete hinnatõus taandub visamalt. 2023. aasta kokkuvõttes jääb inflatsioon 10% alla ja järgmisel aastal 5% piiresse, aeglustudes edaspidi veelgi.</w:t>
      </w:r>
    </w:p>
    <w:p w14:paraId="61F898EC" w14:textId="77777777" w:rsidR="002E2625" w:rsidRPr="008263BA" w:rsidRDefault="002E2625" w:rsidP="002E2625">
      <w:pPr>
        <w:pStyle w:val="Phitekst"/>
        <w:rPr>
          <w:b/>
          <w:bCs/>
        </w:rPr>
      </w:pPr>
      <w:r w:rsidRPr="00DE164D">
        <w:rPr>
          <w:b/>
          <w:bCs/>
        </w:rPr>
        <w:t xml:space="preserve">Hõivatute arv jätkab aastases arvestuses kasvu vaatamata keerulistele aegadele. </w:t>
      </w:r>
      <w:r w:rsidRPr="00DE164D">
        <w:t>2023. aasta teises pooles töökohtade arv siiski väheneb, kuna nõudlus mõnedel eksporditurgudel on väga nõrk. Majandusolude paranedes järgmisel aastal taastuvad ka töökohad. Tööpuudus tõuseb siiski paari aasta jooksul mõõdukalt – töötuse ja hõive samaaegne kasv on võimalik sõjapõgenike lisandumise kaudu meie tööturule.</w:t>
      </w:r>
    </w:p>
    <w:p w14:paraId="190F707A" w14:textId="61A80332" w:rsidR="002E2625" w:rsidRPr="00C647A6" w:rsidRDefault="002E2625" w:rsidP="002E2625">
      <w:pPr>
        <w:pStyle w:val="Phitekst"/>
      </w:pPr>
      <w:bookmarkStart w:id="23" w:name="_Hlk143266940"/>
      <w:r w:rsidRPr="00C647A6">
        <w:rPr>
          <w:b/>
          <w:bCs/>
        </w:rPr>
        <w:t>Investeeringud olid 2022. aastal tervikuna languses kiire hinnatõusu tõttu, kuid elanike eluasemeinvesteeringud siiski kasvasid.</w:t>
      </w:r>
      <w:r w:rsidRPr="00C647A6">
        <w:t xml:space="preserve"> Kõrgele tõusnud laenuintressid pidurdavad eelkõige uute eluasemeinvesteeringute tegemist. Ettevõtted </w:t>
      </w:r>
      <w:r w:rsidRPr="00C647A6">
        <w:t>ootavad väliskonjunktuuri paranemist, valitsussektori investeeringud aga kulmineeruvad 2026. aastal EL rahade suurema kasutamise ja Rail Balticu ehitusega.</w:t>
      </w:r>
    </w:p>
    <w:bookmarkEnd w:id="23"/>
    <w:p w14:paraId="5DE4CAA5" w14:textId="724D0C95" w:rsidR="00E60BFA" w:rsidRPr="007C7849" w:rsidRDefault="00E60BFA" w:rsidP="00E60BFA">
      <w:pPr>
        <w:pStyle w:val="Phitekst"/>
      </w:pPr>
      <w:r w:rsidRPr="007C7849">
        <w:rPr>
          <w:b/>
          <w:bCs/>
        </w:rPr>
        <w:t>Käesoleva aasta eelarvepositsioon on tugevalt mõjutatud viimastel aastatel langetatud püsikulusid suurendanud eelarveotsustest, mis vaatamata kevadel oodatust paremale maksulaekumisele viib eelarvepuudujäägi sel aastal 1,28 miljardi euroni ehk 3,3%ni SKPst.</w:t>
      </w:r>
      <w:r w:rsidRPr="007C7849">
        <w:t xml:space="preserve"> Puudujääki süvendab omakorda ka laenukoormuse kasvu ning intressimäärade tõusu toel jõudsalt kasvav intressikulu. Võrreldes kevadise prognoosiga on puudujääk sel ja järgmisel aastal 1,0% ja 1,3% SKPst väiksem, kuid 2025. aastal 0,</w:t>
      </w:r>
      <w:r w:rsidR="001C4C00" w:rsidRPr="007C7849">
        <w:t>1</w:t>
      </w:r>
      <w:r w:rsidRPr="007C7849">
        <w:t>% võrra SKPst suurem. Peamine muutus järgnevate aastate eelarvepositsioonis tuleb suvel vastu</w:t>
      </w:r>
      <w:r w:rsidR="007C7849" w:rsidRPr="007C7849">
        <w:t xml:space="preserve"> </w:t>
      </w:r>
      <w:r w:rsidRPr="007C7849">
        <w:t>võetud maksuseaduste ja perehüvitiste seaduse muudatustest ning kaitsekulude suurendamisest 3%ni SKPst.</w:t>
      </w:r>
    </w:p>
    <w:p w14:paraId="2D3EF2C9" w14:textId="29C0782D" w:rsidR="00E60BFA" w:rsidRPr="007C7849" w:rsidRDefault="00E60BFA" w:rsidP="00E60BFA">
      <w:pPr>
        <w:pStyle w:val="Phitekst"/>
        <w:sectPr w:rsidR="00E60BFA" w:rsidRPr="007C7849" w:rsidSect="00551E9E">
          <w:endnotePr>
            <w:numFmt w:val="decimal"/>
          </w:endnotePr>
          <w:type w:val="continuous"/>
          <w:pgSz w:w="11906" w:h="16838"/>
          <w:pgMar w:top="964" w:right="964" w:bottom="964" w:left="964" w:header="709" w:footer="709" w:gutter="0"/>
          <w:cols w:num="2" w:space="708"/>
          <w:docGrid w:linePitch="360"/>
        </w:sectPr>
      </w:pPr>
      <w:r w:rsidRPr="007C7849">
        <w:t>Valitsussektori võlakoormus kasvab suurenenud defitsiidi tulemusel sel aastal 19,4%ni SKPst ja jõuab 2027. aastaks 30,</w:t>
      </w:r>
      <w:r w:rsidR="009D1CF9" w:rsidRPr="007C7849">
        <w:t>4</w:t>
      </w:r>
      <w:r w:rsidRPr="007C7849">
        <w:t>%ni SKPst.</w:t>
      </w:r>
    </w:p>
    <w:p w14:paraId="2D2A7159" w14:textId="36399984" w:rsidR="00B70BAA" w:rsidRPr="00414819" w:rsidRDefault="00B70BAA" w:rsidP="008E171E">
      <w:pPr>
        <w:pStyle w:val="Phitekst"/>
        <w:rPr>
          <w:highlight w:val="yellow"/>
        </w:rPr>
      </w:pPr>
    </w:p>
    <w:p w14:paraId="2CBDB477" w14:textId="0322796B" w:rsidR="0081464C" w:rsidRPr="007C7849" w:rsidRDefault="0081464C" w:rsidP="0081464C">
      <w:pPr>
        <w:pStyle w:val="Caption"/>
      </w:pPr>
      <w:bookmarkStart w:id="24" w:name="_Ref143614337"/>
      <w:bookmarkStart w:id="25" w:name="_Toc143775516"/>
      <w:bookmarkEnd w:id="20"/>
      <w:r w:rsidRPr="007C7849">
        <w:t xml:space="preserve">Joonis </w:t>
      </w:r>
      <w:r w:rsidR="004C0EAE">
        <w:fldChar w:fldCharType="begin"/>
      </w:r>
      <w:r w:rsidR="004C0EAE">
        <w:instrText xml:space="preserve"> SEQ Joonis \* ARABIC </w:instrText>
      </w:r>
      <w:r w:rsidR="004C0EAE">
        <w:fldChar w:fldCharType="separate"/>
      </w:r>
      <w:r w:rsidR="00C5527F">
        <w:rPr>
          <w:noProof/>
        </w:rPr>
        <w:t>1</w:t>
      </w:r>
      <w:r w:rsidR="004C0EAE">
        <w:rPr>
          <w:noProof/>
        </w:rPr>
        <w:fldChar w:fldCharType="end"/>
      </w:r>
      <w:bookmarkEnd w:id="24"/>
      <w:r w:rsidRPr="007C7849">
        <w:t>. Valitsussektori nominaalne eelarvepositsioon, % SKPst</w:t>
      </w:r>
      <w:bookmarkEnd w:id="25"/>
    </w:p>
    <w:p w14:paraId="61D44DF0" w14:textId="358C90E0" w:rsidR="008C5922" w:rsidRPr="00414819" w:rsidRDefault="00E60BFA" w:rsidP="006014DB">
      <w:pPr>
        <w:pStyle w:val="Phitekst"/>
        <w:rPr>
          <w:highlight w:val="yellow"/>
        </w:rPr>
      </w:pPr>
      <w:r>
        <w:rPr>
          <w:noProof/>
          <w14:ligatures w14:val="none"/>
        </w:rPr>
        <w:drawing>
          <wp:inline distT="0" distB="0" distL="0" distR="0" wp14:anchorId="6C9E9FCA" wp14:editId="11318EE4">
            <wp:extent cx="6336030" cy="2457450"/>
            <wp:effectExtent l="0" t="0" r="7620" b="0"/>
            <wp:docPr id="1187148797" name="Diagramm 1">
              <a:extLst xmlns:a="http://schemas.openxmlformats.org/drawingml/2006/main">
                <a:ext uri="{FF2B5EF4-FFF2-40B4-BE49-F238E27FC236}">
                  <a16:creationId xmlns:a16="http://schemas.microsoft.com/office/drawing/2014/main" id="{B31AD940-8AD3-48AE-A66E-2B3514C093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7ADC17" w14:textId="77777777" w:rsidR="009D1CF9" w:rsidRPr="009D1CF9" w:rsidRDefault="009D1CF9" w:rsidP="009D1CF9">
      <w:pPr>
        <w:rPr>
          <w:highlight w:val="green"/>
        </w:rPr>
      </w:pPr>
    </w:p>
    <w:p w14:paraId="0BC1247D" w14:textId="77777777" w:rsidR="009D1CF9" w:rsidRDefault="009D1CF9" w:rsidP="0081464C">
      <w:pPr>
        <w:pStyle w:val="Caption"/>
        <w:rPr>
          <w:highlight w:val="green"/>
        </w:rPr>
      </w:pPr>
    </w:p>
    <w:p w14:paraId="426EB238" w14:textId="77777777" w:rsidR="009D1CF9" w:rsidRDefault="009D1CF9" w:rsidP="009D1CF9">
      <w:pPr>
        <w:rPr>
          <w:highlight w:val="green"/>
        </w:rPr>
      </w:pPr>
    </w:p>
    <w:p w14:paraId="48227274" w14:textId="77777777" w:rsidR="009D1CF9" w:rsidRDefault="009D1CF9" w:rsidP="009D1CF9">
      <w:pPr>
        <w:rPr>
          <w:highlight w:val="green"/>
        </w:rPr>
      </w:pPr>
    </w:p>
    <w:p w14:paraId="134D4707" w14:textId="77777777" w:rsidR="009D1CF9" w:rsidRPr="009D1CF9" w:rsidRDefault="009D1CF9" w:rsidP="009D1CF9">
      <w:pPr>
        <w:rPr>
          <w:highlight w:val="green"/>
        </w:rPr>
      </w:pPr>
    </w:p>
    <w:p w14:paraId="4D46DA39" w14:textId="77777777" w:rsidR="009D1CF9" w:rsidRDefault="009D1CF9" w:rsidP="0081464C">
      <w:pPr>
        <w:pStyle w:val="Caption"/>
        <w:rPr>
          <w:highlight w:val="green"/>
        </w:rPr>
      </w:pPr>
    </w:p>
    <w:p w14:paraId="7515E37A" w14:textId="79B01579" w:rsidR="0081464C" w:rsidRPr="007C7849" w:rsidRDefault="0081464C" w:rsidP="0081464C">
      <w:pPr>
        <w:pStyle w:val="Caption"/>
      </w:pPr>
      <w:bookmarkStart w:id="26" w:name="_Toc143775517"/>
      <w:r w:rsidRPr="007C7849">
        <w:t xml:space="preserve">Joonis </w:t>
      </w:r>
      <w:r w:rsidR="004C0EAE">
        <w:fldChar w:fldCharType="begin"/>
      </w:r>
      <w:r w:rsidR="004C0EAE">
        <w:instrText xml:space="preserve"> SEQ Joonis \* ARABIC </w:instrText>
      </w:r>
      <w:r w:rsidR="004C0EAE">
        <w:fldChar w:fldCharType="separate"/>
      </w:r>
      <w:r w:rsidR="00C5527F">
        <w:rPr>
          <w:noProof/>
        </w:rPr>
        <w:t>2</w:t>
      </w:r>
      <w:r w:rsidR="004C0EAE">
        <w:rPr>
          <w:noProof/>
        </w:rPr>
        <w:fldChar w:fldCharType="end"/>
      </w:r>
      <w:r w:rsidRPr="007C7849">
        <w:t>. Valitsussektori võlakoormus, % SKPst</w:t>
      </w:r>
      <w:bookmarkEnd w:id="26"/>
    </w:p>
    <w:p w14:paraId="3F388D8B" w14:textId="0834E543" w:rsidR="009D1CF9" w:rsidRPr="00414819" w:rsidRDefault="009D1CF9" w:rsidP="00712328">
      <w:pPr>
        <w:pStyle w:val="Phitekst"/>
        <w:rPr>
          <w:sz w:val="18"/>
          <w:szCs w:val="18"/>
          <w:highlight w:val="yellow"/>
        </w:rPr>
        <w:sectPr w:rsidR="009D1CF9" w:rsidRPr="00414819" w:rsidSect="002609A3">
          <w:endnotePr>
            <w:numFmt w:val="decimal"/>
          </w:endnotePr>
          <w:type w:val="continuous"/>
          <w:pgSz w:w="11906" w:h="16838"/>
          <w:pgMar w:top="964" w:right="964" w:bottom="964" w:left="964" w:header="709" w:footer="709" w:gutter="0"/>
          <w:cols w:space="708"/>
          <w:docGrid w:linePitch="360"/>
        </w:sectPr>
      </w:pPr>
      <w:r>
        <w:rPr>
          <w:noProof/>
          <w14:ligatures w14:val="none"/>
        </w:rPr>
        <w:drawing>
          <wp:inline distT="0" distB="0" distL="0" distR="0" wp14:anchorId="59E97406" wp14:editId="4644A825">
            <wp:extent cx="6321516" cy="2700915"/>
            <wp:effectExtent l="0" t="0" r="3175" b="4445"/>
            <wp:docPr id="798601128" name="Diagramm 1">
              <a:extLst xmlns:a="http://schemas.openxmlformats.org/drawingml/2006/main">
                <a:ext uri="{FF2B5EF4-FFF2-40B4-BE49-F238E27FC236}">
                  <a16:creationId xmlns:a16="http://schemas.microsoft.com/office/drawing/2014/main" id="{8FA75EAA-C1E7-492E-AC4F-DA44EEC6BA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sz w:val="18"/>
          <w:szCs w:val="18"/>
          <w:highlight w:val="yellow"/>
        </w:rPr>
        <w:t xml:space="preserve"> </w:t>
      </w:r>
    </w:p>
    <w:p w14:paraId="108A30DB" w14:textId="77777777" w:rsidR="00697A9B" w:rsidRPr="00414819" w:rsidRDefault="00697A9B" w:rsidP="006A5CB8">
      <w:pPr>
        <w:pStyle w:val="Phitekst"/>
        <w:rPr>
          <w:highlight w:val="yellow"/>
        </w:rPr>
      </w:pPr>
    </w:p>
    <w:p w14:paraId="779AF57E" w14:textId="77777777" w:rsidR="00AE30BD" w:rsidRPr="00414819" w:rsidRDefault="00AE30BD" w:rsidP="006A5CB8">
      <w:pPr>
        <w:pStyle w:val="Phitekst"/>
        <w:rPr>
          <w:highlight w:val="yellow"/>
        </w:rPr>
        <w:sectPr w:rsidR="00AE30BD" w:rsidRPr="00414819" w:rsidSect="00551E9E">
          <w:endnotePr>
            <w:numFmt w:val="decimal"/>
          </w:endnotePr>
          <w:type w:val="continuous"/>
          <w:pgSz w:w="11906" w:h="16838"/>
          <w:pgMar w:top="964" w:right="964" w:bottom="964" w:left="964" w:header="709" w:footer="709" w:gutter="0"/>
          <w:cols w:space="708"/>
          <w:docGrid w:linePitch="360"/>
        </w:sectPr>
      </w:pPr>
    </w:p>
    <w:p w14:paraId="54ECE18C" w14:textId="77777777" w:rsidR="00F04D36" w:rsidRPr="00414819" w:rsidRDefault="00F04D36" w:rsidP="00F04D36">
      <w:pPr>
        <w:pStyle w:val="Heading1"/>
        <w:keepNext w:val="0"/>
        <w:keepLines w:val="0"/>
        <w:rPr>
          <w:highlight w:val="yellow"/>
        </w:rPr>
        <w:sectPr w:rsidR="00F04D36" w:rsidRPr="00414819" w:rsidSect="00C74FB5">
          <w:endnotePr>
            <w:numFmt w:val="decimal"/>
          </w:endnotePr>
          <w:type w:val="continuous"/>
          <w:pgSz w:w="11906" w:h="16838"/>
          <w:pgMar w:top="964" w:right="964" w:bottom="964" w:left="964" w:header="709" w:footer="709" w:gutter="0"/>
          <w:cols w:space="708"/>
          <w:docGrid w:linePitch="360"/>
        </w:sectPr>
      </w:pPr>
      <w:bookmarkStart w:id="27" w:name="_Toc62631811"/>
      <w:bookmarkStart w:id="28" w:name="_Toc64504532"/>
      <w:bookmarkStart w:id="29" w:name="_Toc64844878"/>
    </w:p>
    <w:p w14:paraId="0EC8E77A" w14:textId="79E3CC31" w:rsidR="00F42C6C" w:rsidRPr="00EA6544" w:rsidRDefault="00F42C6C" w:rsidP="00E66452">
      <w:pPr>
        <w:pStyle w:val="Heading1"/>
      </w:pPr>
      <w:bookmarkStart w:id="30" w:name="_Toc143775493"/>
      <w:r w:rsidRPr="00EA6544">
        <w:lastRenderedPageBreak/>
        <w:t>MAKROMAJANDUSPROGNOOS</w:t>
      </w:r>
      <w:bookmarkEnd w:id="27"/>
      <w:bookmarkEnd w:id="28"/>
      <w:bookmarkEnd w:id="29"/>
      <w:bookmarkEnd w:id="30"/>
    </w:p>
    <w:p w14:paraId="5E4F5079" w14:textId="40C3B506" w:rsidR="00152232" w:rsidRPr="00EA6544" w:rsidRDefault="000F05E3" w:rsidP="00E66452">
      <w:pPr>
        <w:pStyle w:val="Heading2"/>
      </w:pPr>
      <w:bookmarkStart w:id="31" w:name="_Toc62631814"/>
      <w:bookmarkStart w:id="32" w:name="_Toc64504535"/>
      <w:bookmarkStart w:id="33" w:name="_Toc18917246"/>
      <w:bookmarkStart w:id="34" w:name="_Toc143775494"/>
      <w:r w:rsidRPr="00EA6544">
        <w:t>Majandusaktiivsus ja pakkumine</w:t>
      </w:r>
      <w:bookmarkEnd w:id="31"/>
      <w:bookmarkEnd w:id="32"/>
      <w:bookmarkEnd w:id="33"/>
      <w:bookmarkEnd w:id="34"/>
    </w:p>
    <w:p w14:paraId="51397B30" w14:textId="370E75A3" w:rsidR="004538BC" w:rsidRPr="00EA6544" w:rsidRDefault="004538BC" w:rsidP="004538BC">
      <w:pPr>
        <w:pStyle w:val="Heading3"/>
        <w:rPr>
          <w:rStyle w:val="longtext"/>
          <w:b w:val="0"/>
        </w:rPr>
        <w:sectPr w:rsidR="004538BC" w:rsidRPr="00EA6544" w:rsidSect="00F04D36">
          <w:endnotePr>
            <w:numFmt w:val="decimal"/>
          </w:endnotePr>
          <w:pgSz w:w="11906" w:h="16838"/>
          <w:pgMar w:top="964" w:right="964" w:bottom="964" w:left="964" w:header="709" w:footer="709" w:gutter="0"/>
          <w:cols w:space="708"/>
          <w:docGrid w:linePitch="360"/>
        </w:sectPr>
      </w:pPr>
    </w:p>
    <w:p w14:paraId="5D06949C" w14:textId="45BF4CDF" w:rsidR="00D05292" w:rsidRPr="00414819" w:rsidRDefault="00EA6544" w:rsidP="00E203DD">
      <w:pPr>
        <w:pStyle w:val="Alapunkt"/>
        <w:rPr>
          <w:b/>
          <w:highlight w:val="yellow"/>
        </w:rPr>
        <w:sectPr w:rsidR="00D05292" w:rsidRPr="00414819" w:rsidSect="00204A39">
          <w:endnotePr>
            <w:numFmt w:val="decimal"/>
          </w:endnotePr>
          <w:type w:val="continuous"/>
          <w:pgSz w:w="11906" w:h="16838"/>
          <w:pgMar w:top="964" w:right="964" w:bottom="964" w:left="964" w:header="709" w:footer="709" w:gutter="0"/>
          <w:cols w:space="708"/>
          <w:docGrid w:linePitch="360"/>
        </w:sectPr>
      </w:pPr>
      <w:bookmarkStart w:id="35" w:name="_Toc18917247"/>
      <w:bookmarkStart w:id="36" w:name="_Toc62631815"/>
      <w:bookmarkStart w:id="37" w:name="_Toc64504536"/>
      <w:bookmarkStart w:id="38" w:name="_Toc64844880"/>
      <w:r w:rsidRPr="00A415F4">
        <w:rPr>
          <w:rFonts w:cstheme="minorHAnsi"/>
          <w:iCs/>
        </w:rPr>
        <w:t xml:space="preserve">Majanduse seis on sel aastal pingeline. </w:t>
      </w:r>
      <w:bookmarkEnd w:id="35"/>
      <w:bookmarkEnd w:id="36"/>
      <w:bookmarkEnd w:id="37"/>
      <w:bookmarkEnd w:id="38"/>
      <w:r w:rsidR="007C0EBD">
        <w:rPr>
          <w:rFonts w:cstheme="minorHAnsi"/>
          <w:iCs/>
        </w:rPr>
        <w:t>2023. aastaks prognoosime tööstus-, ehitus- ja teenuste sektori reaalse lisandväärtuse langust.</w:t>
      </w:r>
      <w:r w:rsidR="008626BE">
        <w:rPr>
          <w:rFonts w:cstheme="minorHAnsi"/>
          <w:iCs/>
        </w:rPr>
        <w:t xml:space="preserve"> Jooksevhindades prognoosime kevad</w:t>
      </w:r>
      <w:r w:rsidR="007C7849">
        <w:rPr>
          <w:rFonts w:cstheme="minorHAnsi"/>
          <w:iCs/>
        </w:rPr>
        <w:t>e</w:t>
      </w:r>
      <w:r w:rsidR="008626BE">
        <w:rPr>
          <w:rFonts w:cstheme="minorHAnsi"/>
          <w:iCs/>
        </w:rPr>
        <w:t xml:space="preserve">ga võrreldes siiski </w:t>
      </w:r>
      <w:r w:rsidR="003E582E">
        <w:rPr>
          <w:rFonts w:cstheme="minorHAnsi"/>
          <w:iCs/>
        </w:rPr>
        <w:t>majanduse suuremat mahtu</w:t>
      </w:r>
      <w:r w:rsidR="008626BE">
        <w:rPr>
          <w:rFonts w:cstheme="minorHAnsi"/>
          <w:iCs/>
        </w:rPr>
        <w:t>, kuna hindade ja palkade kasv peaks olema üsna kiire.</w:t>
      </w:r>
    </w:p>
    <w:p w14:paraId="45A2688E" w14:textId="70336396" w:rsidR="00EA6544" w:rsidRPr="00C103CF" w:rsidRDefault="00EA6544" w:rsidP="00EA6544">
      <w:pPr>
        <w:jc w:val="both"/>
        <w:rPr>
          <w:rFonts w:cstheme="minorHAnsi"/>
        </w:rPr>
      </w:pPr>
      <w:r w:rsidRPr="00C103CF">
        <w:rPr>
          <w:rFonts w:cstheme="minorHAnsi"/>
          <w:b/>
          <w:bCs/>
        </w:rPr>
        <w:t>Töötleva tööstuse olukord on endiselt keeruline.</w:t>
      </w:r>
      <w:r w:rsidRPr="00C103CF">
        <w:rPr>
          <w:rFonts w:cstheme="minorHAnsi"/>
        </w:rPr>
        <w:t xml:space="preserve"> Toodangumah</w:t>
      </w:r>
      <w:r>
        <w:rPr>
          <w:rFonts w:cstheme="minorHAnsi"/>
        </w:rPr>
        <w:t>ud on olnud aastases võrdluses languses alates 2022. aasta juunist</w:t>
      </w:r>
      <w:r w:rsidR="004A02D1">
        <w:rPr>
          <w:rFonts w:cstheme="minorHAnsi"/>
        </w:rPr>
        <w:t xml:space="preserve"> ning langenud on paljude tööstusharude toodangumahud</w:t>
      </w:r>
      <w:r>
        <w:rPr>
          <w:rFonts w:cstheme="minorHAnsi"/>
        </w:rPr>
        <w:t>.</w:t>
      </w:r>
      <w:r w:rsidRPr="00C103CF">
        <w:rPr>
          <w:rFonts w:cstheme="minorHAnsi"/>
        </w:rPr>
        <w:t xml:space="preserve"> Töötleva tööstuse ekspordi- ja impordihinnad on </w:t>
      </w:r>
      <w:r>
        <w:rPr>
          <w:rFonts w:cstheme="minorHAnsi"/>
        </w:rPr>
        <w:t xml:space="preserve">viimastel kuudel olnud </w:t>
      </w:r>
      <w:r w:rsidRPr="00C103CF">
        <w:rPr>
          <w:rFonts w:cstheme="minorHAnsi"/>
        </w:rPr>
        <w:t xml:space="preserve">aastatagusega võrreldes väikeses languses ning tegevusala eksporditulu langes 2023. aasta </w:t>
      </w:r>
      <w:r>
        <w:rPr>
          <w:rFonts w:cstheme="minorHAnsi"/>
        </w:rPr>
        <w:t>juunis</w:t>
      </w:r>
      <w:r w:rsidRPr="00C103CF">
        <w:rPr>
          <w:rFonts w:cstheme="minorHAnsi"/>
        </w:rPr>
        <w:t xml:space="preserve"> </w:t>
      </w:r>
      <w:r w:rsidR="007C7849">
        <w:rPr>
          <w:rFonts w:cstheme="minorHAnsi"/>
        </w:rPr>
        <w:t>aastatagusega</w:t>
      </w:r>
      <w:r w:rsidRPr="00C103CF">
        <w:rPr>
          <w:rFonts w:cstheme="minorHAnsi"/>
        </w:rPr>
        <w:t xml:space="preserve"> võrreldes ligikaudu 1</w:t>
      </w:r>
      <w:r>
        <w:rPr>
          <w:rFonts w:cstheme="minorHAnsi"/>
        </w:rPr>
        <w:t>6</w:t>
      </w:r>
      <w:r w:rsidRPr="00C103CF">
        <w:rPr>
          <w:rFonts w:cstheme="minorHAnsi"/>
        </w:rPr>
        <w:t xml:space="preserve">%. Tööstussektori ekspordiootused järgmisteks kuudeks on väga nõrgad ja hõiveootused väga madalal tasemel. Prognoosime tööstussektori reaalse lisandväärtuse langust 2023. aastal, kuid edaspidi ootame </w:t>
      </w:r>
      <w:r>
        <w:rPr>
          <w:rFonts w:cstheme="minorHAnsi"/>
        </w:rPr>
        <w:t xml:space="preserve">siiski </w:t>
      </w:r>
      <w:r w:rsidRPr="00C103CF">
        <w:rPr>
          <w:rFonts w:cstheme="minorHAnsi"/>
        </w:rPr>
        <w:t>mõõdukat kasvu.</w:t>
      </w:r>
    </w:p>
    <w:p w14:paraId="0291F2F2" w14:textId="72385B2F" w:rsidR="00EA6544" w:rsidRPr="00C103CF" w:rsidRDefault="00EA6544" w:rsidP="00EA6544">
      <w:pPr>
        <w:jc w:val="both"/>
        <w:rPr>
          <w:rFonts w:cstheme="minorHAnsi"/>
        </w:rPr>
      </w:pPr>
      <w:r w:rsidRPr="00C103CF">
        <w:rPr>
          <w:rFonts w:cstheme="minorHAnsi"/>
          <w:b/>
          <w:bCs/>
        </w:rPr>
        <w:t>Ehitussektori tegevust mõjutavad tegurid</w:t>
      </w:r>
      <w:r w:rsidR="00670C22">
        <w:rPr>
          <w:rFonts w:cstheme="minorHAnsi"/>
          <w:b/>
          <w:bCs/>
        </w:rPr>
        <w:t xml:space="preserve"> – näiteks ehitus- ja kinnisvarahindade kasv –</w:t>
      </w:r>
      <w:r w:rsidRPr="00C103CF">
        <w:rPr>
          <w:rFonts w:cstheme="minorHAnsi"/>
          <w:b/>
          <w:bCs/>
        </w:rPr>
        <w:t xml:space="preserve"> on </w:t>
      </w:r>
      <w:r w:rsidR="00670C22">
        <w:rPr>
          <w:rFonts w:cstheme="minorHAnsi"/>
          <w:b/>
          <w:bCs/>
        </w:rPr>
        <w:t xml:space="preserve">tõenäoliselt </w:t>
      </w:r>
      <w:r w:rsidRPr="00C103CF">
        <w:rPr>
          <w:rFonts w:cstheme="minorHAnsi"/>
          <w:b/>
          <w:bCs/>
        </w:rPr>
        <w:t>stabiliseerumas.</w:t>
      </w:r>
      <w:r w:rsidRPr="00C103CF">
        <w:rPr>
          <w:rFonts w:cstheme="minorHAnsi"/>
        </w:rPr>
        <w:t xml:space="preserve"> </w:t>
      </w:r>
      <w:r w:rsidR="004A02D1" w:rsidRPr="004A02D1">
        <w:rPr>
          <w:rFonts w:cstheme="minorHAnsi"/>
        </w:rPr>
        <w:t>Ehitushindade ning eluasemehindade varasem väga kiire kasv on aeglustunud.</w:t>
      </w:r>
      <w:r w:rsidR="004A02D1">
        <w:rPr>
          <w:rFonts w:cstheme="minorHAnsi"/>
        </w:rPr>
        <w:t xml:space="preserve"> </w:t>
      </w:r>
      <w:r w:rsidRPr="00C103CF">
        <w:rPr>
          <w:rFonts w:cstheme="minorHAnsi"/>
        </w:rPr>
        <w:t xml:space="preserve">Uute eluhoonete ja mitteeluhoonete ehitust alustati 2023. aasta esimeses pooles </w:t>
      </w:r>
      <w:r w:rsidR="00DB7D2A">
        <w:rPr>
          <w:rFonts w:cstheme="minorHAnsi"/>
        </w:rPr>
        <w:t>pinna</w:t>
      </w:r>
      <w:r w:rsidR="007542A6">
        <w:rPr>
          <w:rFonts w:cstheme="minorHAnsi"/>
        </w:rPr>
        <w:t xml:space="preserve"> </w:t>
      </w:r>
      <w:r w:rsidR="00DB7D2A">
        <w:rPr>
          <w:rFonts w:cstheme="minorHAnsi"/>
        </w:rPr>
        <w:t xml:space="preserve">järgi </w:t>
      </w:r>
      <w:r w:rsidRPr="00C103CF">
        <w:rPr>
          <w:rFonts w:cstheme="minorHAnsi"/>
        </w:rPr>
        <w:t xml:space="preserve">aastatagusest ligikaudu 24% suuremas mahus. 2023. aastaks prognoosime ehitussektori reaalse lisandväärtuse </w:t>
      </w:r>
      <w:r w:rsidR="00DB7D2A">
        <w:rPr>
          <w:rFonts w:cstheme="minorHAnsi"/>
        </w:rPr>
        <w:t>väikest langust</w:t>
      </w:r>
      <w:r w:rsidRPr="00C103CF">
        <w:rPr>
          <w:rFonts w:cstheme="minorHAnsi"/>
        </w:rPr>
        <w:t xml:space="preserve"> ja</w:t>
      </w:r>
      <w:r w:rsidR="00FD7AB9">
        <w:rPr>
          <w:rFonts w:cstheme="minorHAnsi"/>
        </w:rPr>
        <w:t xml:space="preserve"> järgmisteks aastateks</w:t>
      </w:r>
      <w:r w:rsidRPr="00C103CF">
        <w:rPr>
          <w:rFonts w:cstheme="minorHAnsi"/>
        </w:rPr>
        <w:t xml:space="preserve"> </w:t>
      </w:r>
      <w:proofErr w:type="spellStart"/>
      <w:r w:rsidRPr="00C103CF">
        <w:rPr>
          <w:rFonts w:cstheme="minorHAnsi"/>
        </w:rPr>
        <w:t>mõneprotsendilist</w:t>
      </w:r>
      <w:proofErr w:type="spellEnd"/>
      <w:r w:rsidRPr="00C103CF">
        <w:rPr>
          <w:rFonts w:cstheme="minorHAnsi"/>
        </w:rPr>
        <w:t xml:space="preserve"> kasvu.</w:t>
      </w:r>
    </w:p>
    <w:p w14:paraId="3421DBD9" w14:textId="7F098BE8" w:rsidR="00EA6544" w:rsidRPr="00C103CF" w:rsidRDefault="00EA6544" w:rsidP="00EA6544">
      <w:pPr>
        <w:jc w:val="both"/>
        <w:rPr>
          <w:rFonts w:cstheme="minorHAnsi"/>
        </w:rPr>
      </w:pPr>
      <w:r w:rsidRPr="00C103CF">
        <w:rPr>
          <w:rFonts w:cstheme="minorHAnsi"/>
          <w:b/>
          <w:bCs/>
        </w:rPr>
        <w:t>Teenuste sektoris on</w:t>
      </w:r>
      <w:r w:rsidR="004A02D1">
        <w:rPr>
          <w:rFonts w:cstheme="minorHAnsi"/>
          <w:b/>
          <w:bCs/>
        </w:rPr>
        <w:t xml:space="preserve"> </w:t>
      </w:r>
      <w:r w:rsidRPr="00C103CF">
        <w:rPr>
          <w:rFonts w:cstheme="minorHAnsi"/>
          <w:b/>
          <w:bCs/>
        </w:rPr>
        <w:t>müük kasvanud 2023. aastal küllaltki kiiresti nii nominaalselt kui reaalselt.</w:t>
      </w:r>
      <w:r w:rsidRPr="00C103CF">
        <w:rPr>
          <w:rFonts w:cstheme="minorHAnsi"/>
        </w:rPr>
        <w:t xml:space="preserve"> Mitme</w:t>
      </w:r>
      <w:r w:rsidR="009A06B6">
        <w:rPr>
          <w:rFonts w:cstheme="minorHAnsi"/>
        </w:rPr>
        <w:t>s</w:t>
      </w:r>
      <w:r w:rsidRPr="00C103CF">
        <w:rPr>
          <w:rFonts w:cstheme="minorHAnsi"/>
        </w:rPr>
        <w:t xml:space="preserve"> teenuste harus 2023. aasta kevadel siiski teenuste mahu kasv aeglustus või teenuste maht lausa vähenes. Teenuste sektori baromeetri kohaselt oli teenuste osutamise ressursside rakendatuse tase 2023. aasta kolmanda kvartali alguses veidi allpool </w:t>
      </w:r>
      <w:r w:rsidRPr="00C103CF">
        <w:rPr>
          <w:rFonts w:cstheme="minorHAnsi"/>
        </w:rPr>
        <w:t>oma viimaste aastate keskmist taset. Samuti olid hõiveootused järgmisteks kuudeks tavapärasest kehvemad. Prognoosime teenuste sektori reaalse lisandväärtuse mõõdukat langust 2023. aastal, kuid kasvu edaspidi.</w:t>
      </w:r>
    </w:p>
    <w:p w14:paraId="11FBD493" w14:textId="7E806840" w:rsidR="00EA6544" w:rsidRPr="00C103CF" w:rsidRDefault="00EA6544" w:rsidP="00EA6544">
      <w:pPr>
        <w:jc w:val="both"/>
        <w:rPr>
          <w:rFonts w:cstheme="minorHAnsi"/>
        </w:rPr>
      </w:pPr>
      <w:r w:rsidRPr="00C103CF">
        <w:rPr>
          <w:rFonts w:cstheme="minorHAnsi"/>
          <w:b/>
          <w:bCs/>
        </w:rPr>
        <w:t>Teenustest võib positiivsemana vaadelda näiteks infotehnoloogia teenuste, ärimajanduse teenuste ja vaba ajaga seotud teenuste olukorda, keerulisemana aga veonduse ja laonduse olukorda.</w:t>
      </w:r>
      <w:r w:rsidRPr="00C103CF">
        <w:rPr>
          <w:rFonts w:cstheme="minorHAnsi"/>
        </w:rPr>
        <w:t xml:space="preserve"> Info ja side tegevusalal on viimastel aastatel kiiresti kasvanud nii töötajate arv kui ka palgad. Kaubandussektoris on jaemüük viimastel kuudel aga langenud nii reaalselt kui ka nominaalselt. Majutuse ja toitlustuse sektor on koroonakriisist küll taastumas, aga majutatud turistide arv ei ole veel jõudnud </w:t>
      </w:r>
      <w:r>
        <w:rPr>
          <w:rFonts w:cstheme="minorHAnsi"/>
        </w:rPr>
        <w:t>pandeemia</w:t>
      </w:r>
      <w:r w:rsidRPr="00C103CF">
        <w:rPr>
          <w:rFonts w:cstheme="minorHAnsi"/>
        </w:rPr>
        <w:t>eelse tasemeni. Samuti ei ole tegevusalal tööga hõivatud isikute arv saavutanud koroonaeelset taset.</w:t>
      </w:r>
    </w:p>
    <w:p w14:paraId="34808704" w14:textId="58B8704B" w:rsidR="00EA6544" w:rsidRPr="008626BE" w:rsidRDefault="008626BE" w:rsidP="009F5143">
      <w:pPr>
        <w:pStyle w:val="Phitekst"/>
        <w:rPr>
          <w:rFonts w:cstheme="minorHAnsi"/>
          <w:highlight w:val="yellow"/>
        </w:rPr>
      </w:pPr>
      <w:r w:rsidRPr="008626BE">
        <w:rPr>
          <w:rFonts w:cstheme="minorHAnsi"/>
          <w:b/>
          <w:bCs/>
        </w:rPr>
        <w:t xml:space="preserve">Majanduse seis on sel aastal pingeline. </w:t>
      </w:r>
      <w:r w:rsidRPr="008626BE">
        <w:rPr>
          <w:rFonts w:cstheme="minorHAnsi"/>
        </w:rPr>
        <w:t>Olulisteks küsimusteks on, milliseks kujuneb hindade areng, kuidas ettevõtted kujundavad väiksema nõudluse tingimustes ümber oma tarneahelaid ja tooteid ning kuidas taastub majandussektorite kindlustunne. Majandusagentide kindlustunnet mõjutab majanduses toimuv, kuid kindlustunne omakorda mõjutab majanduses toimuvat. Ettevõtted näevad praegu probleemi eelkõige ebapiisavas nõudluses, majapidamised aga nii oma pere majanduslikus olukorras kui ka majanduse üldises väljavaates lähema 12 kuu jooksul.</w:t>
      </w:r>
    </w:p>
    <w:p w14:paraId="0E0E44E7" w14:textId="5ECB21B0" w:rsidR="0070220F" w:rsidRPr="00414819" w:rsidRDefault="0070220F" w:rsidP="00D846B9">
      <w:pPr>
        <w:pStyle w:val="Phitekst"/>
        <w:rPr>
          <w:highlight w:val="yellow"/>
        </w:rPr>
        <w:sectPr w:rsidR="0070220F" w:rsidRPr="00414819" w:rsidSect="0070220F">
          <w:endnotePr>
            <w:numFmt w:val="decimal"/>
          </w:endnotePr>
          <w:type w:val="continuous"/>
          <w:pgSz w:w="11906" w:h="16838"/>
          <w:pgMar w:top="964" w:right="964" w:bottom="964" w:left="964" w:header="709" w:footer="709" w:gutter="0"/>
          <w:cols w:num="2" w:space="708"/>
          <w:docGrid w:linePitch="360"/>
        </w:sectPr>
      </w:pPr>
    </w:p>
    <w:p w14:paraId="7F836486" w14:textId="7060B685" w:rsidR="00722B88" w:rsidRDefault="00722B88">
      <w:pPr>
        <w:rPr>
          <w:highlight w:val="yellow"/>
        </w:rPr>
      </w:pPr>
      <w:r>
        <w:rPr>
          <w:highlight w:val="yellow"/>
        </w:rPr>
        <w:br w:type="page"/>
      </w:r>
    </w:p>
    <w:p w14:paraId="43F55E5C" w14:textId="2503027E" w:rsidR="004538BC" w:rsidRPr="00EA6544" w:rsidRDefault="0070220F" w:rsidP="00832933">
      <w:pPr>
        <w:pStyle w:val="Heading2"/>
        <w:sectPr w:rsidR="004538BC" w:rsidRPr="00EA6544" w:rsidSect="00C74FB5">
          <w:endnotePr>
            <w:numFmt w:val="decimal"/>
          </w:endnotePr>
          <w:type w:val="continuous"/>
          <w:pgSz w:w="11906" w:h="16838"/>
          <w:pgMar w:top="964" w:right="964" w:bottom="964" w:left="964" w:header="709" w:footer="709" w:gutter="0"/>
          <w:cols w:space="708"/>
          <w:docGrid w:linePitch="360"/>
        </w:sectPr>
      </w:pPr>
      <w:bookmarkStart w:id="39" w:name="_Toc143775495"/>
      <w:r w:rsidRPr="00EA6544">
        <w:lastRenderedPageBreak/>
        <w:t>Sisenõudlus</w:t>
      </w:r>
      <w:bookmarkEnd w:id="39"/>
    </w:p>
    <w:p w14:paraId="0D48024C" w14:textId="386271CD" w:rsidR="0070220F" w:rsidRPr="002E2625" w:rsidRDefault="002E2625" w:rsidP="0070220F">
      <w:pPr>
        <w:pStyle w:val="Alapunkt"/>
        <w:rPr>
          <w:highlight w:val="lightGray"/>
        </w:rPr>
        <w:sectPr w:rsidR="0070220F" w:rsidRPr="002E2625" w:rsidSect="0070220F">
          <w:endnotePr>
            <w:numFmt w:val="decimal"/>
          </w:endnotePr>
          <w:type w:val="continuous"/>
          <w:pgSz w:w="11906" w:h="16838"/>
          <w:pgMar w:top="964" w:right="964" w:bottom="964" w:left="964" w:header="709" w:footer="709" w:gutter="0"/>
          <w:cols w:space="708"/>
          <w:docGrid w:linePitch="360"/>
        </w:sectPr>
      </w:pPr>
      <w:r w:rsidRPr="00C647A6">
        <w:t xml:space="preserve">Kiirem palgakasv ja aeglustuv inflatsioon </w:t>
      </w:r>
      <w:r w:rsidRPr="007C7849">
        <w:t>võivad ära hoida eratarbimise languse. Investeeringud pöörduvad pärast kahe aastast langust taas kasvule 2024. aastal.</w:t>
      </w:r>
    </w:p>
    <w:p w14:paraId="458228BC" w14:textId="1614D6B0" w:rsidR="002E2625" w:rsidRPr="00C647A6" w:rsidRDefault="002E2625" w:rsidP="002E2625">
      <w:pPr>
        <w:pStyle w:val="Phitekst"/>
        <w:rPr>
          <w:rStyle w:val="Strong"/>
          <w:rFonts w:cstheme="minorBidi"/>
          <w:b w:val="0"/>
          <w:bCs w:val="0"/>
        </w:rPr>
      </w:pPr>
      <w:r w:rsidRPr="00C647A6">
        <w:rPr>
          <w:rStyle w:val="Strong"/>
        </w:rPr>
        <w:t>Eratarbimise aastane kasv on Eestis finantskriisi järgsetel aastatel olnud keskmiselt 4%.</w:t>
      </w:r>
      <w:r w:rsidRPr="00C647A6">
        <w:rPr>
          <w:rStyle w:val="Strong"/>
          <w:rFonts w:cstheme="minorBidi"/>
          <w:b w:val="0"/>
          <w:bCs w:val="0"/>
        </w:rPr>
        <w:t xml:space="preserve"> Selle stabiilse ja pideva kasvuperioodi katkestasid viirusekriisist tingitud piirangud elanike liikumisele 2020. aastal. Kuna Eesti majandust tabas see kriis suhteliselt leebelt ja lühidalt, siis elanike reaalsissetulekud kasvasid ka pandeemia puhkemise aastal. Aeglustunud kasvu taustal kogunesid tarbimispiirangute tõttu inimeste pangaarvetele suures mahus säästud, mida täiendasid 2021. aastal välja võetud II samba pensionivarad. Need varad võimaldasid inimestel toime tulla 2022. aastal järsult kiirenenud hinnatõusuga, mis tabas eelkõige sund</w:t>
      </w:r>
      <w:r w:rsidR="00722B88">
        <w:rPr>
          <w:rStyle w:val="Strong"/>
          <w:rFonts w:cstheme="minorBidi"/>
          <w:b w:val="0"/>
          <w:bCs w:val="0"/>
        </w:rPr>
        <w:softHyphen/>
      </w:r>
      <w:r w:rsidRPr="00C647A6">
        <w:rPr>
          <w:rStyle w:val="Strong"/>
          <w:rFonts w:cstheme="minorBidi"/>
          <w:b w:val="0"/>
          <w:bCs w:val="0"/>
        </w:rPr>
        <w:t>kulutusi – eluasemega seotud teenuseid ja toitu.</w:t>
      </w:r>
    </w:p>
    <w:p w14:paraId="2D617B68" w14:textId="0298789F" w:rsidR="002E2625" w:rsidRPr="00C647A6" w:rsidRDefault="002E2625" w:rsidP="002E2625">
      <w:pPr>
        <w:pStyle w:val="Phitekst"/>
        <w:rPr>
          <w:rStyle w:val="Strong"/>
          <w:rFonts w:cstheme="minorBidi"/>
          <w:b w:val="0"/>
          <w:bCs w:val="0"/>
        </w:rPr>
      </w:pPr>
      <w:r w:rsidRPr="00C647A6">
        <w:rPr>
          <w:rStyle w:val="Strong"/>
        </w:rPr>
        <w:t>2022. aastal tabas elanikke esmakordselt finantskriisi järel reaalsissetulekute järsk langus.</w:t>
      </w:r>
      <w:r w:rsidRPr="00C647A6">
        <w:rPr>
          <w:rStyle w:val="Strong"/>
          <w:rFonts w:cstheme="minorBidi"/>
          <w:b w:val="0"/>
          <w:bCs w:val="0"/>
        </w:rPr>
        <w:t xml:space="preserve"> Palgakasv kiirenes keskmiselt küll pea 12%ni, kuid üle 19% kasvanud hinnad viisid elanike ostujõu siiski sügavasse langusesse. Kasvama hakkasid ka intressimaksed. Vaatamata sellele aitasid eelneval kahel aastal kogunenud finantspuhvrid elanikel tervikuna tarbimist kasvatada (2,7%).</w:t>
      </w:r>
    </w:p>
    <w:p w14:paraId="0FC806B9" w14:textId="345EB701" w:rsidR="002E2625" w:rsidRPr="00C647A6" w:rsidRDefault="002E2625" w:rsidP="002E2625">
      <w:pPr>
        <w:pStyle w:val="Phitekst"/>
        <w:rPr>
          <w:rStyle w:val="Strong"/>
          <w:rFonts w:cstheme="minorBidi"/>
          <w:b w:val="0"/>
          <w:bCs w:val="0"/>
        </w:rPr>
      </w:pPr>
      <w:r w:rsidRPr="00C647A6">
        <w:rPr>
          <w:rStyle w:val="Strong"/>
        </w:rPr>
        <w:t>Elanike reaalsissetulekute kasv 2023. aastal taastub.</w:t>
      </w:r>
      <w:r w:rsidRPr="00C647A6">
        <w:rPr>
          <w:rStyle w:val="Strong"/>
          <w:rFonts w:cstheme="minorBidi"/>
          <w:b w:val="0"/>
          <w:bCs w:val="0"/>
        </w:rPr>
        <w:t xml:space="preserve"> Aasta esimeses pooles on palgakasv püsinud eelmise aasta kõrgel tasemel (u</w:t>
      </w:r>
      <w:r w:rsidR="007C7849">
        <w:rPr>
          <w:rStyle w:val="Strong"/>
          <w:rFonts w:cstheme="minorBidi"/>
          <w:b w:val="0"/>
          <w:bCs w:val="0"/>
        </w:rPr>
        <w:t>mbes</w:t>
      </w:r>
      <w:r w:rsidRPr="00C647A6">
        <w:rPr>
          <w:rStyle w:val="Strong"/>
          <w:rFonts w:cstheme="minorBidi"/>
          <w:b w:val="0"/>
          <w:bCs w:val="0"/>
        </w:rPr>
        <w:t xml:space="preserve"> 11%) ja vaatamata ekspordi</w:t>
      </w:r>
      <w:r w:rsidR="007C7849">
        <w:rPr>
          <w:rStyle w:val="Strong"/>
          <w:rFonts w:cstheme="minorBidi"/>
          <w:b w:val="0"/>
          <w:bCs w:val="0"/>
        </w:rPr>
        <w:t xml:space="preserve"> </w:t>
      </w:r>
      <w:r w:rsidRPr="00C647A6">
        <w:rPr>
          <w:rStyle w:val="Strong"/>
          <w:rFonts w:cstheme="minorBidi"/>
          <w:b w:val="0"/>
          <w:bCs w:val="0"/>
        </w:rPr>
        <w:t xml:space="preserve">raskustele mõnedes </w:t>
      </w:r>
      <w:r w:rsidR="007C7849">
        <w:rPr>
          <w:rStyle w:val="Strong"/>
          <w:rFonts w:cstheme="minorBidi"/>
          <w:b w:val="0"/>
          <w:bCs w:val="0"/>
        </w:rPr>
        <w:t>harudes</w:t>
      </w:r>
      <w:r w:rsidRPr="00C647A6">
        <w:rPr>
          <w:rStyle w:val="Strong"/>
          <w:rFonts w:cstheme="minorBidi"/>
          <w:b w:val="0"/>
          <w:bCs w:val="0"/>
        </w:rPr>
        <w:t xml:space="preserve"> on töötuse kasv olnud seni tagasihoidlik. Samas aeglustub hinnatõus aasta jooksul oluliselt, jäädes teises poolaastas juba selgelt alla 6%. Seega ületab aasta teises pooles sissetulekute kasv hinnatõusu pea kaks korda. Ühtlasi on elanike pangaarvetel endiselt eelnevatel aastatel kogunenud sääste, mida saab kasutada tarbimise taseme languse vältimiseks. Laenuintressimaksed eelmise aastaga võrreldes küll kasvavad, kuid see puudutab eelkõige eluasemelaenuga leibkondi, kes on paremini kindlustatud. Selle taustal võiks elanikkonnal tervikuna olla siiski võimalus vältida tarbimise langust aasta keskmisena ka 2023. aastal.</w:t>
      </w:r>
    </w:p>
    <w:p w14:paraId="07B694B1" w14:textId="29BEB625" w:rsidR="002E2625" w:rsidRPr="00C647A6" w:rsidRDefault="002E2625" w:rsidP="002E2625">
      <w:pPr>
        <w:pStyle w:val="Phitekst"/>
        <w:rPr>
          <w:rStyle w:val="Strong"/>
          <w:rFonts w:cstheme="minorBidi"/>
          <w:b w:val="0"/>
          <w:bCs w:val="0"/>
        </w:rPr>
      </w:pPr>
      <w:r w:rsidRPr="00C647A6">
        <w:rPr>
          <w:rStyle w:val="Strong"/>
        </w:rPr>
        <w:t>Kõigil pole õnnestunud kiire hinnatõusu tingimustes senist elatustaset säilitada.</w:t>
      </w:r>
      <w:r w:rsidRPr="00C647A6">
        <w:rPr>
          <w:rStyle w:val="Strong"/>
          <w:rFonts w:cstheme="minorBidi"/>
          <w:b w:val="0"/>
          <w:bCs w:val="0"/>
        </w:rPr>
        <w:t xml:space="preserve"> </w:t>
      </w:r>
      <w:r w:rsidRPr="007C7849">
        <w:rPr>
          <w:rStyle w:val="Strong"/>
          <w:rFonts w:cstheme="minorBidi"/>
          <w:b w:val="0"/>
          <w:bCs w:val="0"/>
        </w:rPr>
        <w:t>Kõigi töötajate palk ei kasva riigi keskmisega samas tempos ja säästude jaotus hoiuarvetel on väga ebaühtlane.</w:t>
      </w:r>
      <w:r w:rsidRPr="00C647A6">
        <w:rPr>
          <w:rStyle w:val="Strong"/>
          <w:rFonts w:cstheme="minorBidi"/>
          <w:b w:val="0"/>
          <w:bCs w:val="0"/>
        </w:rPr>
        <w:t xml:space="preserve"> Seetõttu pole kõigil leibkondadel õnnestunud kindlasti oma tarbimise taset kiire </w:t>
      </w:r>
      <w:r w:rsidRPr="00C647A6">
        <w:rPr>
          <w:rStyle w:val="Strong"/>
          <w:rFonts w:cstheme="minorBidi"/>
          <w:b w:val="0"/>
          <w:bCs w:val="0"/>
        </w:rPr>
        <w:t xml:space="preserve">hinnatõusu taustal säilitada. Sellest annab märku toidukaupade tarbimise langus juba 2022. aasta teisest poolest, mis </w:t>
      </w:r>
      <w:r w:rsidR="007C7849" w:rsidRPr="00C647A6">
        <w:rPr>
          <w:rStyle w:val="Strong"/>
          <w:rFonts w:cstheme="minorBidi"/>
          <w:b w:val="0"/>
          <w:bCs w:val="0"/>
        </w:rPr>
        <w:t xml:space="preserve">on </w:t>
      </w:r>
      <w:r w:rsidRPr="00C647A6">
        <w:rPr>
          <w:rStyle w:val="Strong"/>
          <w:rFonts w:cstheme="minorBidi"/>
          <w:b w:val="0"/>
          <w:bCs w:val="0"/>
        </w:rPr>
        <w:t>sellel aastal süvenenud. Seda langust on kompenseerinud teenuste tarbimise kasv, eriti välisreiside osas. Kui jõukama elanikkonna tarbimise kasvu jätkumine ei kompenseeri enam vähemkindlustatud elanike toidutarbimise langust, siis võib 2023. aastal kogu eratarbimise tase ka langeda. Selle võimalusega tegeleb prognoosi riski</w:t>
      </w:r>
      <w:r w:rsidRPr="00C647A6">
        <w:rPr>
          <w:rStyle w:val="Strong"/>
          <w:rFonts w:cstheme="minorBidi"/>
          <w:b w:val="0"/>
          <w:bCs w:val="0"/>
        </w:rPr>
        <w:softHyphen/>
        <w:t>stsenaa</w:t>
      </w:r>
      <w:r w:rsidRPr="00C647A6">
        <w:rPr>
          <w:rStyle w:val="Strong"/>
          <w:rFonts w:cstheme="minorBidi"/>
          <w:b w:val="0"/>
          <w:bCs w:val="0"/>
        </w:rPr>
        <w:softHyphen/>
        <w:t>rium.</w:t>
      </w:r>
    </w:p>
    <w:p w14:paraId="02730799" w14:textId="77777777" w:rsidR="002E2625" w:rsidRDefault="002E2625" w:rsidP="002E2625">
      <w:pPr>
        <w:pStyle w:val="Phitekst"/>
        <w:rPr>
          <w:rStyle w:val="Strong"/>
          <w:rFonts w:cstheme="minorBidi"/>
          <w:b w:val="0"/>
          <w:bCs w:val="0"/>
        </w:rPr>
      </w:pPr>
      <w:r w:rsidRPr="007C7849">
        <w:rPr>
          <w:rStyle w:val="Strong"/>
        </w:rPr>
        <w:t>Prognoosi järgi järgnevatel aastatel inimeste tarbimis</w:t>
      </w:r>
      <w:r w:rsidRPr="007C7849">
        <w:rPr>
          <w:rStyle w:val="Strong"/>
        </w:rPr>
        <w:softHyphen/>
        <w:t>võimaluste kasv püsib.</w:t>
      </w:r>
      <w:r w:rsidRPr="00C647A6">
        <w:rPr>
          <w:rStyle w:val="Strong"/>
          <w:rFonts w:cstheme="minorBidi"/>
          <w:b w:val="0"/>
          <w:bCs w:val="0"/>
        </w:rPr>
        <w:t xml:space="preserve"> Alates 2024. aastast ületab sissetulekute kasv mõnevõrra inflatsiooni ja 2025. aastal seoses erinevate maksumuudatuste ning hinnatõusu edasise pidurdumisega juba oluliselt. See toob kaasa eratarbimise kasvu ajutise kiirenemise ja sellele järgneva mõningase aeglustumise.</w:t>
      </w:r>
    </w:p>
    <w:p w14:paraId="1298AED9" w14:textId="77777777" w:rsidR="00722B88" w:rsidRPr="00EA6544" w:rsidRDefault="00722B88" w:rsidP="00722B88">
      <w:pPr>
        <w:pStyle w:val="Caption"/>
        <w:rPr>
          <w:rStyle w:val="Strong"/>
          <w:b/>
          <w:bCs w:val="0"/>
        </w:rPr>
      </w:pPr>
      <w:bookmarkStart w:id="40" w:name="_Toc143775518"/>
      <w:r w:rsidRPr="00EA6544">
        <w:t xml:space="preserve">Joonis </w:t>
      </w:r>
      <w:r w:rsidR="004C0EAE">
        <w:fldChar w:fldCharType="begin"/>
      </w:r>
      <w:r w:rsidR="004C0EAE">
        <w:instrText xml:space="preserve"> SEQ Joonis \* ARABIC </w:instrText>
      </w:r>
      <w:r w:rsidR="004C0EAE">
        <w:fldChar w:fldCharType="separate"/>
      </w:r>
      <w:r>
        <w:rPr>
          <w:noProof/>
        </w:rPr>
        <w:t>3</w:t>
      </w:r>
      <w:r w:rsidR="004C0EAE">
        <w:rPr>
          <w:noProof/>
        </w:rPr>
        <w:fldChar w:fldCharType="end"/>
      </w:r>
      <w:r w:rsidRPr="00EA6544">
        <w:t>. Eratarbimise nominaal- ja reaalkasv (% v.e.a.)</w:t>
      </w:r>
      <w:bookmarkEnd w:id="40"/>
    </w:p>
    <w:p w14:paraId="06787CEC" w14:textId="77777777" w:rsidR="00722B88" w:rsidRPr="00EA6544" w:rsidRDefault="00722B88" w:rsidP="00722B88">
      <w:pPr>
        <w:pStyle w:val="Phitekst"/>
        <w:rPr>
          <w:rStyle w:val="Strong"/>
          <w:b w:val="0"/>
          <w:bCs w:val="0"/>
        </w:rPr>
      </w:pPr>
      <w:r w:rsidRPr="00EA6544">
        <w:rPr>
          <w:noProof/>
        </w:rPr>
        <w:drawing>
          <wp:inline distT="0" distB="0" distL="0" distR="0" wp14:anchorId="575D2527" wp14:editId="31D07C51">
            <wp:extent cx="2927985" cy="1955800"/>
            <wp:effectExtent l="0" t="0" r="5715" b="6350"/>
            <wp:docPr id="555596013" name="Chart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FAB1506" w14:textId="2EF332AF" w:rsidR="0070220F" w:rsidRPr="00414819" w:rsidRDefault="002E2625" w:rsidP="0070220F">
      <w:pPr>
        <w:pStyle w:val="Phitekst"/>
        <w:rPr>
          <w:rStyle w:val="Strong"/>
          <w:b w:val="0"/>
          <w:bCs w:val="0"/>
          <w:highlight w:val="yellow"/>
        </w:rPr>
      </w:pPr>
      <w:r w:rsidRPr="007C7849">
        <w:rPr>
          <w:b/>
          <w:bCs/>
        </w:rPr>
        <w:t>Investeeringud vähenevad ka 2023. aastal kiiresti kallinenud hindade ja tõusnud intressimäärade tõttu, kuid pöörduvad seejärel kasvule.</w:t>
      </w:r>
      <w:r w:rsidRPr="007C7849">
        <w:t xml:space="preserve"> Investeeringud olid 2022. aastal tervikuna languses eelkõig</w:t>
      </w:r>
      <w:r w:rsidR="007C7849">
        <w:t>e</w:t>
      </w:r>
      <w:r w:rsidRPr="007C7849">
        <w:t xml:space="preserve"> kiire hinnatõusu tõttu, kuigi kulutused kapitalimahutusele kasvasid 9%.</w:t>
      </w:r>
      <w:r w:rsidRPr="00C647A6">
        <w:t xml:space="preserve"> Selgelt vähenesid investeeringud ettevõtlus- ja valitsussektoris, kuid vaatamata jõulisele hinnatõusule majapidamiste investeeringud eluasemesse </w:t>
      </w:r>
      <w:r w:rsidR="00326AE4">
        <w:t>sellegipoolest</w:t>
      </w:r>
      <w:r w:rsidRPr="00C647A6">
        <w:t xml:space="preserve"> kasvasid. Ettevõtted on kasvatanud siiski oluliselt investeeringuid arvutus- ja sidetehnikasse. Kõrged intressimäärad pärsivad eelkõige eluaseme</w:t>
      </w:r>
      <w:r w:rsidRPr="00C647A6">
        <w:softHyphen/>
        <w:t xml:space="preserve">investeeringuid, ettevõtlussektor aga ootab ilmselt märke väliskeskkonna paranemisest. Igal juhul </w:t>
      </w:r>
      <w:r w:rsidRPr="00C647A6">
        <w:lastRenderedPageBreak/>
        <w:t>toetab investeeringute kasvu mitmete materjalide ja seadmete hinnatõusu pidurdumine. Valitsussektori investeeringud peaksid tipnema 2026. aasta</w:t>
      </w:r>
      <w:r w:rsidR="00326AE4">
        <w:t>l</w:t>
      </w:r>
      <w:r w:rsidRPr="00C647A6">
        <w:t xml:space="preserve"> seoses </w:t>
      </w:r>
      <w:r w:rsidRPr="00C647A6">
        <w:t>erinevate EL abirahade kasutuselevõtuga, muu hulgas Rail Balticu hoogsamaks rajamiseks.</w:t>
      </w:r>
    </w:p>
    <w:p w14:paraId="30A28964" w14:textId="77777777" w:rsidR="008D3974" w:rsidRPr="00414819" w:rsidRDefault="008D3974" w:rsidP="00F96DB9">
      <w:pPr>
        <w:pStyle w:val="Phitekst"/>
        <w:rPr>
          <w:rStyle w:val="Strong"/>
          <w:rFonts w:cstheme="minorBidi"/>
          <w:b w:val="0"/>
          <w:bCs w:val="0"/>
          <w:highlight w:val="yellow"/>
        </w:rPr>
        <w:sectPr w:rsidR="008D3974" w:rsidRPr="00414819" w:rsidSect="0093189D">
          <w:endnotePr>
            <w:numFmt w:val="decimal"/>
          </w:endnotePr>
          <w:type w:val="continuous"/>
          <w:pgSz w:w="11906" w:h="16838"/>
          <w:pgMar w:top="964" w:right="964" w:bottom="964" w:left="964" w:header="709" w:footer="709" w:gutter="0"/>
          <w:cols w:num="2" w:space="708"/>
          <w:docGrid w:linePitch="360"/>
        </w:sectPr>
      </w:pPr>
    </w:p>
    <w:p w14:paraId="36301A4E" w14:textId="77777777" w:rsidR="009F5143" w:rsidRPr="00414819" w:rsidRDefault="009F5143" w:rsidP="009F5143">
      <w:pPr>
        <w:pStyle w:val="Phitekst"/>
        <w:rPr>
          <w:highlight w:val="yellow"/>
        </w:rPr>
      </w:pPr>
    </w:p>
    <w:p w14:paraId="667D9E89" w14:textId="388089B8" w:rsidR="008D3974" w:rsidRPr="00EA6544" w:rsidRDefault="008D3974" w:rsidP="00832933">
      <w:pPr>
        <w:pStyle w:val="Heading2"/>
        <w:sectPr w:rsidR="008D3974" w:rsidRPr="00EA6544" w:rsidSect="00C74FB5">
          <w:endnotePr>
            <w:numFmt w:val="decimal"/>
          </w:endnotePr>
          <w:type w:val="continuous"/>
          <w:pgSz w:w="11906" w:h="16838"/>
          <w:pgMar w:top="964" w:right="964" w:bottom="964" w:left="964" w:header="709" w:footer="709" w:gutter="0"/>
          <w:cols w:space="708"/>
          <w:docGrid w:linePitch="360"/>
        </w:sectPr>
      </w:pPr>
      <w:bookmarkStart w:id="41" w:name="_Toc143775496"/>
      <w:r w:rsidRPr="00EA6544">
        <w:t>Eksport</w:t>
      </w:r>
      <w:bookmarkEnd w:id="41"/>
      <w:r w:rsidRPr="00EA6544">
        <w:t xml:space="preserve"> </w:t>
      </w:r>
    </w:p>
    <w:p w14:paraId="7C37EC78" w14:textId="31BB41B6" w:rsidR="008D3974" w:rsidRPr="00EA6544" w:rsidRDefault="00EA6544" w:rsidP="008D3974">
      <w:pPr>
        <w:pStyle w:val="Alapunkt"/>
      </w:pPr>
      <w:r w:rsidRPr="00EA6544">
        <w:rPr>
          <w:bCs/>
          <w:iCs/>
          <w:szCs w:val="20"/>
        </w:rPr>
        <w:t>Nõrk majanduskonjunktuur peamistel välisturgudel koos tööstussektori konkurentsivõime halvenemisega pärsivad eksporti</w:t>
      </w:r>
      <w:r w:rsidR="00596E99" w:rsidRPr="00EA6544">
        <w:t>.</w:t>
      </w:r>
    </w:p>
    <w:p w14:paraId="0877BDB8" w14:textId="77777777" w:rsidR="008D3974" w:rsidRPr="00EA6544" w:rsidRDefault="008D3974" w:rsidP="008D3974">
      <w:pPr>
        <w:pStyle w:val="Alapunkt"/>
        <w:sectPr w:rsidR="008D3974" w:rsidRPr="00EA6544" w:rsidSect="0070220F">
          <w:endnotePr>
            <w:numFmt w:val="decimal"/>
          </w:endnotePr>
          <w:type w:val="continuous"/>
          <w:pgSz w:w="11906" w:h="16838"/>
          <w:pgMar w:top="964" w:right="964" w:bottom="964" w:left="964" w:header="709" w:footer="709" w:gutter="0"/>
          <w:cols w:space="708"/>
          <w:docGrid w:linePitch="360"/>
        </w:sectPr>
      </w:pPr>
    </w:p>
    <w:p w14:paraId="754F4808" w14:textId="2AA6DCCE" w:rsidR="00EA6544" w:rsidRPr="00EA6544" w:rsidRDefault="00EA6544" w:rsidP="00EA6544">
      <w:pPr>
        <w:pStyle w:val="Phitekst"/>
      </w:pPr>
      <w:r w:rsidRPr="00EA6544">
        <w:rPr>
          <w:rStyle w:val="Strong"/>
        </w:rPr>
        <w:t>Möödunud aastal oli välisnõudlus tugev pandeemiajärgse kaubavahetuse ja piirangutest mõjutatud teenuste kiire taastumise mõjul.</w:t>
      </w:r>
      <w:r w:rsidRPr="00EA6544">
        <w:t xml:space="preserve"> Selge jahtumine algas IV kvartalis kui maailmakaubandus pöördus langusesse, mõjutades sellega ka Eesti peamisi kaubanduspartnereid ja euroala laiemalt. Eesti kaupade </w:t>
      </w:r>
      <w:r w:rsidRPr="00326AE4">
        <w:t>ja teenuste eksport suurenes mullu 3% ning ekspordihinnad tõusid 20%. Ekspor</w:t>
      </w:r>
      <w:r w:rsidR="00494E22" w:rsidRPr="00326AE4">
        <w:t xml:space="preserve">di kasv </w:t>
      </w:r>
      <w:r w:rsidRPr="00326AE4">
        <w:t xml:space="preserve">jäi välisnõudlusest väiksemaks eelkõige aasta lõpus toimunud ekspordi </w:t>
      </w:r>
      <w:r w:rsidR="00494E22" w:rsidRPr="00326AE4">
        <w:t>nõrgenemise</w:t>
      </w:r>
      <w:r w:rsidRPr="00326AE4">
        <w:t xml:space="preserve"> tõttu.</w:t>
      </w:r>
    </w:p>
    <w:p w14:paraId="0FFD251E" w14:textId="5E71A2E0" w:rsidR="00494E22" w:rsidRDefault="00EA6544" w:rsidP="00EA6544">
      <w:pPr>
        <w:pStyle w:val="Phitekst"/>
      </w:pPr>
      <w:r w:rsidRPr="00EA6544">
        <w:rPr>
          <w:rStyle w:val="Strong"/>
        </w:rPr>
        <w:t>2023. aasta esimesel poolel jätkus ekspordi langus, sealjuures muutus Eesti päritolu kaubaekspordi nõrkus laiapõhjaliseks.</w:t>
      </w:r>
      <w:r w:rsidRPr="00EA6544">
        <w:t xml:space="preserve"> Soodsale idanaabri toorainele ja materjalile tuginenud hinnakonkurentsi eelis on osades sektorites (nt puidutööstus) sanktsioonide tõttu kadunud. Lisaks on Venemaale kehtestatud sanktsioonid kärpinud transiidisektori majandustegevust, avaldudes raudtee- ja meretranspordi (nt naftasaaduste vedude lõppemine) eksporditulude languses. Kaupadest on suurem ekspordi langus toimunud mineraalsete toodete, puidu ja puidutoodete ning puitehitiste ja mööbli osas. Ka metallitoodete ja elektrimasinate ja -seadmete väljavedu on tuntavalt langenud. Olulisematest kaubagruppidest on suhteliselt tugevana püsinud toidukaupade ning mehhaaniliste masinate ja seadmete eksport.</w:t>
      </w:r>
    </w:p>
    <w:p w14:paraId="7D8B5928" w14:textId="0CE37150" w:rsidR="00EA6544" w:rsidRDefault="00EA6544" w:rsidP="00EA6544">
      <w:pPr>
        <w:pStyle w:val="Phitekst"/>
      </w:pPr>
      <w:r w:rsidRPr="00494E22">
        <w:rPr>
          <w:b/>
          <w:bCs/>
        </w:rPr>
        <w:t>Suurematest sihtturgudest kasvas eksport protsentuaalselt enim Leetu ja Hiina</w:t>
      </w:r>
      <w:r w:rsidRPr="00EA6544">
        <w:t>. Re-ekspordis on peamiseks sihtturuks energiakaubanduse tõttu Läti. Kuigi Eesti päritolu kaupade eksport Venemaale on Ukraina</w:t>
      </w:r>
      <w:r w:rsidR="00494E22">
        <w:t>s toimuva</w:t>
      </w:r>
      <w:r w:rsidRPr="00EA6544">
        <w:t xml:space="preserve"> sõjategevuse järgselt suures languses, on re-eksport Venemaale jätkuvalt suurenenud (2023</w:t>
      </w:r>
      <w:r w:rsidR="00326AE4">
        <w:t>. aasta</w:t>
      </w:r>
      <w:r w:rsidRPr="00EA6544">
        <w:t xml:space="preserve"> I poolaastal +20%). Seevastu on impordimahud Venemaalt sanktsioonide kehtestamise järgselt muutunud marginaalseks, vähenedes sel aastal pea 90%. See tähendab, et ettevõtetel tuli kütustele ning puidu-, metalli- ja keemiatoodetele uued tarneriigid leida.</w:t>
      </w:r>
    </w:p>
    <w:p w14:paraId="68A86949" w14:textId="60EDB26C" w:rsidR="00722B88" w:rsidRPr="005C1521" w:rsidRDefault="00722B88" w:rsidP="00722B88">
      <w:pPr>
        <w:pStyle w:val="Caption"/>
      </w:pPr>
      <w:bookmarkStart w:id="42" w:name="_Toc143775519"/>
      <w:r w:rsidRPr="005C1521">
        <w:t xml:space="preserve">Joonis </w:t>
      </w:r>
      <w:r w:rsidR="004C0EAE">
        <w:fldChar w:fldCharType="begin"/>
      </w:r>
      <w:r w:rsidR="004C0EAE">
        <w:instrText xml:space="preserve"> SEQ Joonis \* ARABIC </w:instrText>
      </w:r>
      <w:r w:rsidR="004C0EAE">
        <w:fldChar w:fldCharType="separate"/>
      </w:r>
      <w:r>
        <w:rPr>
          <w:noProof/>
        </w:rPr>
        <w:t>4</w:t>
      </w:r>
      <w:r w:rsidR="004C0EAE">
        <w:rPr>
          <w:noProof/>
        </w:rPr>
        <w:fldChar w:fldCharType="end"/>
      </w:r>
      <w:r w:rsidRPr="005C1521">
        <w:t>. Ekspordi areng (%)</w:t>
      </w:r>
      <w:bookmarkEnd w:id="42"/>
    </w:p>
    <w:p w14:paraId="1FDBF44E" w14:textId="250700B9" w:rsidR="00722B88" w:rsidRPr="00414819" w:rsidRDefault="005377A9" w:rsidP="00722B88">
      <w:pPr>
        <w:pStyle w:val="Phitekst"/>
        <w:rPr>
          <w:highlight w:val="yellow"/>
        </w:rPr>
      </w:pPr>
      <w:r>
        <w:rPr>
          <w:noProof/>
          <w14:ligatures w14:val="none"/>
        </w:rPr>
        <w:drawing>
          <wp:inline distT="0" distB="0" distL="0" distR="0" wp14:anchorId="2DA40AB0" wp14:editId="093AD869">
            <wp:extent cx="2934820" cy="1924050"/>
            <wp:effectExtent l="0" t="0" r="0" b="0"/>
            <wp:docPr id="1618195950" name="Diagramm 1">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highlight w:val="yellow"/>
        </w:rPr>
        <w:t xml:space="preserve"> </w:t>
      </w:r>
    </w:p>
    <w:p w14:paraId="65E85647" w14:textId="430C36DC" w:rsidR="00EA6544" w:rsidRDefault="00EA6544" w:rsidP="00EA6544">
      <w:pPr>
        <w:pStyle w:val="Phitekst"/>
      </w:pPr>
      <w:r w:rsidRPr="00EA6544">
        <w:rPr>
          <w:rStyle w:val="Strong"/>
        </w:rPr>
        <w:t>Eksportival sektoril tuleb hakkama saada nõrgeneva välisnõudluse ja kõrgete toormehindade kombinatsioonis</w:t>
      </w:r>
      <w:r w:rsidRPr="00EA6544">
        <w:t xml:space="preserve">, millest viimane on põhjustatud idanaabrile kehtestatud sanktsioonidega kaasnenud vajadusest uute, kõrgemate hindadega tarnete järele. See tähendab, et alanenud marginaalide tingimustes võib tööstusettevõtetel tekkida vajadus seniste ärimudelite kohandamiseks. Kinnisvara- ja ehitusturu madalseis </w:t>
      </w:r>
      <w:r w:rsidRPr="00326AE4">
        <w:t xml:space="preserve">Põhjamaades </w:t>
      </w:r>
      <w:r w:rsidR="00E044A6" w:rsidRPr="00326AE4">
        <w:t xml:space="preserve">ning valuutakursi odavnemine </w:t>
      </w:r>
      <w:r w:rsidRPr="00326AE4">
        <w:t>on</w:t>
      </w:r>
      <w:r w:rsidRPr="00EA6544">
        <w:t xml:space="preserve"> suurima tööstusharu - puidutööstuse - olukorda selgelt halvendanud. Lisaks ei ole euroala ja teiste eksporditurgude tööstussektori tellimuste seis ja väljavaade majandusaktiivsuse indeksi (PMI) kohaselt lähiajal paranemisele viitamas. Võttes arvesse eelmainitud tegureid ja konkurentsivõime halvenemist välisturgudel, väheneb eksport 2023. aastal 4,2%. Seega turuosa välisturgudel väheneb sarnaselt 2022. aastale. Languse taga on eelkõige kaupade väljavedu, aga ka teenuste eksport jääb sel aastal ilmselt väiksesse miinusesse. Sanktsioonidest tingitud transiidivoogude vähenemine koos üldise kaubaveomahtude nõrkusega pärsib transpordi</w:t>
      </w:r>
      <w:r w:rsidR="00326AE4">
        <w:softHyphen/>
      </w:r>
      <w:r w:rsidRPr="00EA6544">
        <w:t xml:space="preserve">teenuste eksporti. Lisaks on varasematel aastatel kiiret kasvu näidanud IT ja äriteenuste müügi kasv mitteresidentidele karmistunud intressikeskkonna mõjul selgelt aeglustunud. Paremini läheb turismi </w:t>
      </w:r>
      <w:r w:rsidRPr="00EA6544">
        <w:lastRenderedPageBreak/>
        <w:t>taastumise toel reisiteenustel, kus käibed on lähenemas pandeemiaeelsele tasemele.</w:t>
      </w:r>
    </w:p>
    <w:p w14:paraId="1D42E0A6" w14:textId="46A16E69" w:rsidR="00EA6544" w:rsidRPr="00EA6544" w:rsidRDefault="00EA6544" w:rsidP="00EA6544">
      <w:pPr>
        <w:pStyle w:val="Phitekst"/>
      </w:pPr>
      <w:r w:rsidRPr="00EA6544">
        <w:rPr>
          <w:rStyle w:val="Strong"/>
        </w:rPr>
        <w:t xml:space="preserve">Nõudluse järk-järgulist taastumist oodatakse välisturgudel järgmiseks aastaks, mida toetab inflatsiooni </w:t>
      </w:r>
      <w:r w:rsidRPr="00326AE4">
        <w:rPr>
          <w:rStyle w:val="Strong"/>
        </w:rPr>
        <w:t>jätkuv pidurdumine ning baasintresside</w:t>
      </w:r>
      <w:r w:rsidR="00494E22" w:rsidRPr="00326AE4">
        <w:rPr>
          <w:rStyle w:val="Strong"/>
        </w:rPr>
        <w:t xml:space="preserve"> tõstmise läbisaamine</w:t>
      </w:r>
      <w:r w:rsidRPr="00326AE4">
        <w:rPr>
          <w:rStyle w:val="Strong"/>
        </w:rPr>
        <w:t>.</w:t>
      </w:r>
      <w:r w:rsidRPr="00EA6544">
        <w:t xml:space="preserve"> Senised kriisist taastumise tsüklid on näidanud, et Eesti ettevõtjad suudavad nõudluse taastudes ka tootmismahte suhteliselt kiirelt kasvatada. Sellest tulenevalt võimaldab tugevnev välisnõudlus 2024. aastal ekspordi tänavuselt madalalt võrdlusbaasilt taas kasvurajale pöörata. Aastatel 2024-2025 prognoosime vastavalt 2,9% ja 3,4%st kaupade ja teenuste ekspordi kasvu.</w:t>
      </w:r>
    </w:p>
    <w:p w14:paraId="29B107A3" w14:textId="7F4D24D4" w:rsidR="00EA6544" w:rsidRPr="00EA6544" w:rsidRDefault="004B7E9F" w:rsidP="00EA6544">
      <w:pPr>
        <w:pStyle w:val="Phitekst"/>
      </w:pPr>
      <w:r w:rsidRPr="00326AE4">
        <w:rPr>
          <w:rStyle w:val="Strong"/>
        </w:rPr>
        <w:t>J</w:t>
      </w:r>
      <w:r w:rsidR="00045503" w:rsidRPr="00326AE4">
        <w:rPr>
          <w:rStyle w:val="Strong"/>
        </w:rPr>
        <w:t xml:space="preserve">ooksevkonto puudujääk </w:t>
      </w:r>
      <w:r w:rsidRPr="00326AE4">
        <w:rPr>
          <w:rStyle w:val="Strong"/>
        </w:rPr>
        <w:t xml:space="preserve">süvenes </w:t>
      </w:r>
      <w:r w:rsidR="00045503" w:rsidRPr="00326AE4">
        <w:rPr>
          <w:rStyle w:val="Strong"/>
        </w:rPr>
        <w:t xml:space="preserve">2022. aastal, </w:t>
      </w:r>
      <w:r w:rsidR="00326AE4" w:rsidRPr="00326AE4">
        <w:rPr>
          <w:rStyle w:val="Strong"/>
        </w:rPr>
        <w:t>kuid</w:t>
      </w:r>
      <w:r w:rsidR="00045503" w:rsidRPr="00326AE4">
        <w:rPr>
          <w:rStyle w:val="Strong"/>
        </w:rPr>
        <w:t xml:space="preserve"> </w:t>
      </w:r>
      <w:proofErr w:type="spellStart"/>
      <w:r w:rsidR="00326AE4" w:rsidRPr="00326AE4">
        <w:rPr>
          <w:rStyle w:val="Strong"/>
        </w:rPr>
        <w:t>välistasakaal</w:t>
      </w:r>
      <w:proofErr w:type="spellEnd"/>
      <w:r w:rsidR="00326AE4" w:rsidRPr="00326AE4">
        <w:rPr>
          <w:rStyle w:val="Strong"/>
        </w:rPr>
        <w:t xml:space="preserve"> paraneb lähiaastatel </w:t>
      </w:r>
      <w:r w:rsidRPr="00326AE4">
        <w:rPr>
          <w:rStyle w:val="Strong"/>
        </w:rPr>
        <w:t>ekspordi</w:t>
      </w:r>
      <w:r w:rsidR="00326AE4">
        <w:rPr>
          <w:rStyle w:val="Strong"/>
        </w:rPr>
        <w:softHyphen/>
      </w:r>
      <w:r w:rsidRPr="00326AE4">
        <w:rPr>
          <w:rStyle w:val="Strong"/>
        </w:rPr>
        <w:t>nõudluse taastumise toel.</w:t>
      </w:r>
      <w:r w:rsidR="00045503" w:rsidRPr="00326AE4">
        <w:rPr>
          <w:rStyle w:val="Strong"/>
        </w:rPr>
        <w:t xml:space="preserve"> </w:t>
      </w:r>
      <w:r w:rsidR="00EA6544" w:rsidRPr="00326AE4">
        <w:rPr>
          <w:rStyle w:val="Strong"/>
          <w:b w:val="0"/>
          <w:bCs w:val="0"/>
        </w:rPr>
        <w:t xml:space="preserve">Mitmed Ukraina </w:t>
      </w:r>
      <w:r w:rsidR="00EA6544" w:rsidRPr="00326AE4">
        <w:t>sõjaga seotud tegurid</w:t>
      </w:r>
      <w:r w:rsidR="00326AE4">
        <w:t>,</w:t>
      </w:r>
      <w:r w:rsidR="00EA6544" w:rsidRPr="00326AE4">
        <w:t xml:space="preserve"> nagu kaupade varumine ning imporditavate energiakandjate märkimisväärne kallinemine</w:t>
      </w:r>
      <w:r w:rsidR="00326AE4">
        <w:t>,</w:t>
      </w:r>
      <w:r w:rsidR="00EA6544" w:rsidRPr="00326AE4">
        <w:t xml:space="preserve"> kasvatasid kaupade importi, mistõttu kujunes</w:t>
      </w:r>
      <w:r w:rsidRPr="00326AE4">
        <w:t xml:space="preserve"> jooksevkonto defitsiit mullu kümnendi </w:t>
      </w:r>
      <w:r w:rsidRPr="00326AE4">
        <w:t>suurimaks</w:t>
      </w:r>
      <w:r w:rsidR="00EA6544" w:rsidRPr="00326AE4">
        <w:t>. Sisenõudluse</w:t>
      </w:r>
      <w:r w:rsidR="00EA6544" w:rsidRPr="00EA6544">
        <w:t xml:space="preserve"> languse ning energiahindade stabiliseerumise mõjul võib tänavu oodata kaubandusbilansi puudujäägi vähenemist mulluselt tavapäratult kõrgelt tasemelt, võimaldades </w:t>
      </w:r>
      <w:proofErr w:type="spellStart"/>
      <w:r w:rsidR="00EA6544" w:rsidRPr="00EA6544">
        <w:t>välistasakaalul</w:t>
      </w:r>
      <w:proofErr w:type="spellEnd"/>
      <w:r w:rsidR="00EA6544" w:rsidRPr="00EA6544">
        <w:t xml:space="preserve"> paraneda. Toetatuna ekspordinõudluse taastumisest ning kõrgema lisandväärtusega teenuste edukusest välisturgudel, peaks järgnevatel aastatel jooksevkonto stabiliseeruma kerges ülejäägis SKP suhtes.</w:t>
      </w:r>
    </w:p>
    <w:p w14:paraId="7C754DB6" w14:textId="404B964D" w:rsidR="00101BC9" w:rsidRPr="005C1521" w:rsidRDefault="00101BC9" w:rsidP="00101BC9">
      <w:pPr>
        <w:pStyle w:val="Caption"/>
      </w:pPr>
      <w:bookmarkStart w:id="43" w:name="_Toc143775520"/>
      <w:r w:rsidRPr="005C1521">
        <w:t xml:space="preserve">Joonis </w:t>
      </w:r>
      <w:r w:rsidR="004C0EAE">
        <w:fldChar w:fldCharType="begin"/>
      </w:r>
      <w:r w:rsidR="004C0EAE">
        <w:instrText xml:space="preserve"> SEQ Joonis \* ARABIC </w:instrText>
      </w:r>
      <w:r w:rsidR="004C0EAE">
        <w:fldChar w:fldCharType="separate"/>
      </w:r>
      <w:r w:rsidR="00C5527F">
        <w:rPr>
          <w:noProof/>
        </w:rPr>
        <w:t>5</w:t>
      </w:r>
      <w:r w:rsidR="004C0EAE">
        <w:rPr>
          <w:noProof/>
        </w:rPr>
        <w:fldChar w:fldCharType="end"/>
      </w:r>
      <w:r w:rsidRPr="005C1521">
        <w:t>. Jooksevkonto struktuur (% SKPst)</w:t>
      </w:r>
      <w:bookmarkEnd w:id="43"/>
    </w:p>
    <w:p w14:paraId="3927D1EB" w14:textId="474BF6A7" w:rsidR="00101BC9" w:rsidRPr="00414819" w:rsidRDefault="005C1521" w:rsidP="00F96DB9">
      <w:pPr>
        <w:pStyle w:val="Phitekst"/>
        <w:rPr>
          <w:rStyle w:val="Strong"/>
          <w:rFonts w:cstheme="minorBidi"/>
          <w:b w:val="0"/>
          <w:bCs w:val="0"/>
          <w:highlight w:val="yellow"/>
        </w:rPr>
      </w:pPr>
      <w:r>
        <w:rPr>
          <w:noProof/>
          <w14:ligatures w14:val="none"/>
        </w:rPr>
        <w:drawing>
          <wp:inline distT="0" distB="0" distL="0" distR="0" wp14:anchorId="655DE570" wp14:editId="70817C6E">
            <wp:extent cx="2943225" cy="2019935"/>
            <wp:effectExtent l="0" t="0" r="0" b="0"/>
            <wp:docPr id="1595134104" name="Chart 1">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6E1DC3C" w14:textId="37F2D76A" w:rsidR="00300C5C" w:rsidRPr="00414819" w:rsidRDefault="00300C5C" w:rsidP="00F96DB9">
      <w:pPr>
        <w:pStyle w:val="Phitekst"/>
        <w:rPr>
          <w:rStyle w:val="Strong"/>
          <w:rFonts w:cstheme="minorBidi"/>
          <w:b w:val="0"/>
          <w:bCs w:val="0"/>
          <w:highlight w:val="yellow"/>
        </w:rPr>
        <w:sectPr w:rsidR="00300C5C" w:rsidRPr="00414819" w:rsidSect="0093189D">
          <w:endnotePr>
            <w:numFmt w:val="decimal"/>
          </w:endnotePr>
          <w:type w:val="continuous"/>
          <w:pgSz w:w="11906" w:h="16838"/>
          <w:pgMar w:top="964" w:right="964" w:bottom="964" w:left="964" w:header="709" w:footer="709" w:gutter="0"/>
          <w:cols w:num="2" w:space="708"/>
          <w:docGrid w:linePitch="360"/>
        </w:sectPr>
      </w:pPr>
    </w:p>
    <w:p w14:paraId="351F14A5" w14:textId="77777777" w:rsidR="00300C5C" w:rsidRPr="00414819" w:rsidRDefault="00300C5C" w:rsidP="00300C5C">
      <w:pPr>
        <w:pStyle w:val="Phitekst"/>
        <w:rPr>
          <w:highlight w:val="yellow"/>
        </w:rPr>
      </w:pPr>
    </w:p>
    <w:p w14:paraId="79F00C35" w14:textId="42D9B5C5" w:rsidR="008D3974" w:rsidRPr="00EA6544" w:rsidRDefault="008D3974" w:rsidP="00832933">
      <w:pPr>
        <w:pStyle w:val="Heading2"/>
        <w:sectPr w:rsidR="008D3974" w:rsidRPr="00EA6544" w:rsidSect="00C74FB5">
          <w:endnotePr>
            <w:numFmt w:val="decimal"/>
          </w:endnotePr>
          <w:type w:val="continuous"/>
          <w:pgSz w:w="11906" w:h="16838"/>
          <w:pgMar w:top="964" w:right="964" w:bottom="964" w:left="964" w:header="709" w:footer="709" w:gutter="0"/>
          <w:cols w:space="708"/>
          <w:docGrid w:linePitch="360"/>
        </w:sectPr>
      </w:pPr>
      <w:bookmarkStart w:id="44" w:name="_Toc143775497"/>
      <w:r w:rsidRPr="00EA6544">
        <w:t>Tööturg ja palgad</w:t>
      </w:r>
      <w:bookmarkEnd w:id="44"/>
      <w:r w:rsidRPr="00EA6544">
        <w:t xml:space="preserve"> </w:t>
      </w:r>
    </w:p>
    <w:p w14:paraId="66CA1491" w14:textId="41B58D55" w:rsidR="00D934A6" w:rsidRPr="00414819" w:rsidRDefault="003B7283" w:rsidP="00D934A6">
      <w:pPr>
        <w:pStyle w:val="Alapunkt"/>
        <w:rPr>
          <w:rStyle w:val="Strong"/>
          <w:rFonts w:cstheme="minorBidi"/>
          <w:b w:val="0"/>
          <w:bCs w:val="0"/>
          <w:highlight w:val="yellow"/>
        </w:rPr>
        <w:sectPr w:rsidR="00D934A6" w:rsidRPr="00414819" w:rsidSect="00D934A6">
          <w:endnotePr>
            <w:numFmt w:val="decimal"/>
          </w:endnotePr>
          <w:type w:val="continuous"/>
          <w:pgSz w:w="11906" w:h="16838"/>
          <w:pgMar w:top="964" w:right="964" w:bottom="964" w:left="964" w:header="709" w:footer="709" w:gutter="0"/>
          <w:cols w:space="708"/>
          <w:docGrid w:linePitch="360"/>
        </w:sectPr>
      </w:pPr>
      <w:r w:rsidRPr="00D934A6">
        <w:rPr>
          <w:rStyle w:val="Strong"/>
          <w:rFonts w:cstheme="minorBidi"/>
          <w:b w:val="0"/>
          <w:bCs w:val="0"/>
        </w:rPr>
        <w:t>Töö</w:t>
      </w:r>
      <w:r>
        <w:rPr>
          <w:rStyle w:val="Strong"/>
          <w:rFonts w:cstheme="minorBidi"/>
          <w:b w:val="0"/>
          <w:bCs w:val="0"/>
        </w:rPr>
        <w:t>turg reageerib majanduslangusele viitajaga</w:t>
      </w:r>
      <w:r w:rsidRPr="00D934A6">
        <w:rPr>
          <w:rStyle w:val="Strong"/>
          <w:rFonts w:cstheme="minorBidi"/>
          <w:b w:val="0"/>
          <w:bCs w:val="0"/>
        </w:rPr>
        <w:t>. Palga</w:t>
      </w:r>
      <w:r>
        <w:rPr>
          <w:rStyle w:val="Strong"/>
          <w:rFonts w:cstheme="minorBidi"/>
          <w:b w:val="0"/>
          <w:bCs w:val="0"/>
        </w:rPr>
        <w:t xml:space="preserve"> ostujõud hakkab taastuma inflatsiooni pidurdudes</w:t>
      </w:r>
      <w:r w:rsidRPr="00D934A6">
        <w:rPr>
          <w:rStyle w:val="Strong"/>
          <w:rFonts w:cstheme="minorBidi"/>
          <w:b w:val="0"/>
          <w:bCs w:val="0"/>
        </w:rPr>
        <w:t>.</w:t>
      </w:r>
      <w:r w:rsidR="00D934A6" w:rsidRPr="00414819">
        <w:rPr>
          <w:rStyle w:val="Strong"/>
          <w:rFonts w:cstheme="minorBidi"/>
          <w:b w:val="0"/>
          <w:bCs w:val="0"/>
          <w:highlight w:val="yellow"/>
        </w:rPr>
        <w:t xml:space="preserve"> </w:t>
      </w:r>
    </w:p>
    <w:p w14:paraId="745A9111" w14:textId="462B7B56" w:rsidR="003B7283" w:rsidRDefault="00326AE4" w:rsidP="003B7283">
      <w:pPr>
        <w:pStyle w:val="Phitekst"/>
        <w:rPr>
          <w:rStyle w:val="Strong"/>
          <w:rFonts w:cstheme="minorBidi"/>
          <w:b w:val="0"/>
          <w:bCs w:val="0"/>
        </w:rPr>
      </w:pPr>
      <w:r>
        <w:rPr>
          <w:rStyle w:val="Strong"/>
        </w:rPr>
        <w:t>Tööturu seis on kevadel oodatust parem ning m</w:t>
      </w:r>
      <w:r w:rsidR="003B7283">
        <w:rPr>
          <w:rStyle w:val="Strong"/>
        </w:rPr>
        <w:t>ajanduslangus ei ole tööpuudust oluliselt kasvatanud</w:t>
      </w:r>
      <w:r w:rsidR="003B7283" w:rsidRPr="00D17432">
        <w:rPr>
          <w:rStyle w:val="Strong"/>
        </w:rPr>
        <w:t>.</w:t>
      </w:r>
      <w:r w:rsidR="003B7283" w:rsidRPr="00D17432">
        <w:rPr>
          <w:rStyle w:val="Strong"/>
          <w:rFonts w:cstheme="minorBidi"/>
          <w:b w:val="0"/>
          <w:bCs w:val="0"/>
        </w:rPr>
        <w:t xml:space="preserve"> </w:t>
      </w:r>
      <w:r w:rsidR="003B7283">
        <w:rPr>
          <w:rStyle w:val="Strong"/>
          <w:rFonts w:cstheme="minorBidi"/>
          <w:b w:val="0"/>
          <w:bCs w:val="0"/>
        </w:rPr>
        <w:t xml:space="preserve">Majanduse negatiivsetele signaalidele vaatamata jätkas hõivatud inimeste arv suurenemist kuni käesoleva aasta keskpaigani. Hõive kasv pidurdus maksuameti andmete kohaselt eelmise aasta ligi 4%lt 0,8%ni 2023. aasta esimesel poolaastal. Registreeritud töötute arv hakkas suurenema eelmise aasta keskpaigast, kuid selle taga oli </w:t>
      </w:r>
      <w:r>
        <w:rPr>
          <w:rStyle w:val="Strong"/>
          <w:rFonts w:cstheme="minorBidi"/>
          <w:b w:val="0"/>
          <w:bCs w:val="0"/>
        </w:rPr>
        <w:t>enamjaolt</w:t>
      </w:r>
      <w:r w:rsidR="003B7283">
        <w:rPr>
          <w:rStyle w:val="Strong"/>
          <w:rFonts w:cstheme="minorBidi"/>
          <w:b w:val="0"/>
          <w:bCs w:val="0"/>
        </w:rPr>
        <w:t xml:space="preserve"> Ukraina sõjapõgenike registreerimine Töötukassas. Põgenike mõjuga arvestamata suurenes töötute arv suve lõpul veidi ning jõudsamalt alates talvekuudest, mil töötute arv ületas aastatagust ligikaudu 3000 inimese võrra. Töökohti on peamiselt vähendatud töötlevas tööstuses, veonduses, ehituses ning tööjõurendi vajaduse vähenemise tõttu ka haldus- ja abitegevuses.</w:t>
      </w:r>
    </w:p>
    <w:p w14:paraId="517C376E" w14:textId="7B16423B" w:rsidR="003B7283" w:rsidRDefault="003B7283" w:rsidP="003B7283">
      <w:pPr>
        <w:pStyle w:val="Phitekst"/>
        <w:rPr>
          <w:rStyle w:val="Strong"/>
          <w:rFonts w:cstheme="minorBidi"/>
          <w:b w:val="0"/>
          <w:bCs w:val="0"/>
        </w:rPr>
      </w:pPr>
      <w:r w:rsidRPr="0053438F">
        <w:rPr>
          <w:rStyle w:val="Strong"/>
        </w:rPr>
        <w:t xml:space="preserve">Töötus </w:t>
      </w:r>
      <w:r>
        <w:rPr>
          <w:rStyle w:val="Strong"/>
        </w:rPr>
        <w:t xml:space="preserve">väheneb </w:t>
      </w:r>
      <w:r w:rsidRPr="0053438F">
        <w:rPr>
          <w:rStyle w:val="Strong"/>
        </w:rPr>
        <w:t>sõjapõgenike hulgas.</w:t>
      </w:r>
      <w:r>
        <w:rPr>
          <w:rStyle w:val="Strong"/>
          <w:rFonts w:cstheme="minorBidi"/>
          <w:b w:val="0"/>
          <w:bCs w:val="0"/>
        </w:rPr>
        <w:t xml:space="preserve"> </w:t>
      </w:r>
      <w:r w:rsidRPr="00D17432">
        <w:rPr>
          <w:rStyle w:val="Strong"/>
          <w:rFonts w:cstheme="minorBidi"/>
          <w:b w:val="0"/>
          <w:bCs w:val="0"/>
        </w:rPr>
        <w:t>Sarnaselt eelmis</w:t>
      </w:r>
      <w:r w:rsidR="00326AE4">
        <w:rPr>
          <w:rStyle w:val="Strong"/>
          <w:rFonts w:cstheme="minorBidi"/>
          <w:b w:val="0"/>
          <w:bCs w:val="0"/>
        </w:rPr>
        <w:t>e</w:t>
      </w:r>
      <w:r w:rsidRPr="00D17432">
        <w:rPr>
          <w:rStyle w:val="Strong"/>
          <w:rFonts w:cstheme="minorBidi"/>
          <w:b w:val="0"/>
          <w:bCs w:val="0"/>
        </w:rPr>
        <w:t>le prognoosile sisaldab käesolev prognoos Ukraina sõjapõgenike mõju</w:t>
      </w:r>
      <w:r>
        <w:rPr>
          <w:rStyle w:val="Strong"/>
          <w:rFonts w:cstheme="minorBidi"/>
          <w:b w:val="0"/>
          <w:bCs w:val="0"/>
        </w:rPr>
        <w:t xml:space="preserve"> tööturule</w:t>
      </w:r>
      <w:r w:rsidRPr="00D17432">
        <w:rPr>
          <w:rStyle w:val="Strong"/>
          <w:rFonts w:cstheme="minorBidi"/>
          <w:b w:val="0"/>
          <w:bCs w:val="0"/>
        </w:rPr>
        <w:t>.</w:t>
      </w:r>
      <w:r>
        <w:rPr>
          <w:rStyle w:val="Strong"/>
          <w:rFonts w:cstheme="minorBidi"/>
          <w:b w:val="0"/>
          <w:bCs w:val="0"/>
        </w:rPr>
        <w:t xml:space="preserve"> Viimase poole aasta jooksul on sõjapõgenike ehk ajutise kaitsega inimeste arv stabiliseerunud 34-35 tuhande juures. </w:t>
      </w:r>
      <w:r>
        <w:rPr>
          <w:rStyle w:val="Strong"/>
          <w:rFonts w:cstheme="minorBidi"/>
          <w:b w:val="0"/>
          <w:bCs w:val="0"/>
        </w:rPr>
        <w:t>Kuigi uusi põgenikke saabub Eestisse endiselt, on nende sissevool pidurdunud ning ületab napilt nende arvu, kes erinevatel põhjustel Eestist lahkuvad. Augusti keskpaiga seisuga oli põgenikest tööga hõivatud ca</w:t>
      </w:r>
      <w:r w:rsidR="008B0EAE">
        <w:rPr>
          <w:rStyle w:val="Strong"/>
          <w:rFonts w:cstheme="minorBidi"/>
          <w:b w:val="0"/>
          <w:bCs w:val="0"/>
        </w:rPr>
        <w:t> </w:t>
      </w:r>
      <w:r>
        <w:rPr>
          <w:rStyle w:val="Strong"/>
          <w:rFonts w:cstheme="minorBidi"/>
          <w:b w:val="0"/>
          <w:bCs w:val="0"/>
        </w:rPr>
        <w:t xml:space="preserve">12 tuhat, mis on kooskõlas kevadprognoosi ootusega. </w:t>
      </w:r>
      <w:r w:rsidRPr="000D0CAC">
        <w:rPr>
          <w:rStyle w:val="Strong"/>
          <w:rFonts w:cstheme="minorBidi"/>
          <w:b w:val="0"/>
          <w:bCs w:val="0"/>
        </w:rPr>
        <w:t>Valdavalt on Ukraina põgenikud hõivatud keskmise või keskmisest madalama palgaga tegevusalades nagu tööstus, kaubandus, majutus ja toitlustus.</w:t>
      </w:r>
      <w:r>
        <w:rPr>
          <w:rStyle w:val="Strong"/>
          <w:rFonts w:cstheme="minorBidi"/>
          <w:b w:val="0"/>
          <w:bCs w:val="0"/>
        </w:rPr>
        <w:t xml:space="preserve"> Töötuna registreerimine on põgenike hulgas langenud veebruari tipust (ca 6300 inimest) </w:t>
      </w:r>
      <w:r w:rsidR="00326AE4">
        <w:rPr>
          <w:rStyle w:val="Strong"/>
          <w:rFonts w:cstheme="minorBidi"/>
          <w:b w:val="0"/>
          <w:bCs w:val="0"/>
        </w:rPr>
        <w:t xml:space="preserve">ca 4600 inimeseni </w:t>
      </w:r>
      <w:r>
        <w:rPr>
          <w:rStyle w:val="Strong"/>
          <w:rFonts w:cstheme="minorBidi"/>
          <w:b w:val="0"/>
          <w:bCs w:val="0"/>
        </w:rPr>
        <w:t>augustis. See on madam, kui kevadprognoosis oodatud ning tõenäoliselt on väiksema registreeritud töötuse taga nii vajadus hoolitseda pereliikmete eest</w:t>
      </w:r>
      <w:r w:rsidR="00326AE4">
        <w:rPr>
          <w:rStyle w:val="Strong"/>
          <w:rFonts w:cstheme="minorBidi"/>
          <w:b w:val="0"/>
          <w:bCs w:val="0"/>
        </w:rPr>
        <w:t xml:space="preserve"> kui ka</w:t>
      </w:r>
      <w:r w:rsidR="008C424C">
        <w:rPr>
          <w:rStyle w:val="Strong"/>
          <w:rFonts w:cstheme="minorBidi"/>
          <w:b w:val="0"/>
          <w:bCs w:val="0"/>
        </w:rPr>
        <w:t xml:space="preserve"> töötushüvitiste lõppemine pika töötuse perioodi tõttu</w:t>
      </w:r>
      <w:r>
        <w:rPr>
          <w:rStyle w:val="Strong"/>
          <w:rFonts w:cstheme="minorBidi"/>
          <w:b w:val="0"/>
          <w:bCs w:val="0"/>
        </w:rPr>
        <w:t>.</w:t>
      </w:r>
    </w:p>
    <w:p w14:paraId="31C10CAD" w14:textId="1DE4FDBC" w:rsidR="008C424C" w:rsidRDefault="008C424C" w:rsidP="008C424C">
      <w:pPr>
        <w:pStyle w:val="Caption"/>
        <w:rPr>
          <w:rStyle w:val="Strong"/>
          <w:rFonts w:cstheme="minorBidi"/>
          <w:b/>
          <w:bCs w:val="0"/>
        </w:rPr>
      </w:pPr>
      <w:bookmarkStart w:id="45" w:name="_Ref143713456"/>
      <w:bookmarkStart w:id="46" w:name="_Toc143775521"/>
      <w:r>
        <w:lastRenderedPageBreak/>
        <w:t xml:space="preserve">Joonis </w:t>
      </w:r>
      <w:r w:rsidR="004C0EAE">
        <w:fldChar w:fldCharType="begin"/>
      </w:r>
      <w:r w:rsidR="004C0EAE">
        <w:instrText xml:space="preserve"> SEQ Joonis \* ARABIC </w:instrText>
      </w:r>
      <w:r w:rsidR="004C0EAE">
        <w:fldChar w:fldCharType="separate"/>
      </w:r>
      <w:r w:rsidR="00C5527F">
        <w:rPr>
          <w:noProof/>
        </w:rPr>
        <w:t>6</w:t>
      </w:r>
      <w:r w:rsidR="004C0EAE">
        <w:rPr>
          <w:noProof/>
        </w:rPr>
        <w:fldChar w:fldCharType="end"/>
      </w:r>
      <w:bookmarkEnd w:id="45"/>
      <w:r>
        <w:t>. Tööturu areng, (%)</w:t>
      </w:r>
      <w:bookmarkEnd w:id="46"/>
    </w:p>
    <w:p w14:paraId="4140EBF1" w14:textId="64EA88EE" w:rsidR="008C424C" w:rsidRDefault="008C424C" w:rsidP="003B7283">
      <w:pPr>
        <w:pStyle w:val="Phitekst"/>
        <w:rPr>
          <w:rStyle w:val="Strong"/>
          <w:rFonts w:cstheme="minorBidi"/>
          <w:b w:val="0"/>
          <w:bCs w:val="0"/>
        </w:rPr>
      </w:pPr>
      <w:r>
        <w:rPr>
          <w:noProof/>
          <w14:ligatures w14:val="none"/>
        </w:rPr>
        <w:drawing>
          <wp:inline distT="0" distB="0" distL="0" distR="0" wp14:anchorId="149402DB" wp14:editId="43D28E2F">
            <wp:extent cx="2943225" cy="2038985"/>
            <wp:effectExtent l="0" t="0" r="0" b="0"/>
            <wp:docPr id="1429069302" name="Chart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5675359" w14:textId="1A885D80" w:rsidR="003B7283" w:rsidRDefault="003B7283" w:rsidP="003B7283">
      <w:pPr>
        <w:pStyle w:val="Phitekst"/>
        <w:rPr>
          <w:rStyle w:val="Strong"/>
          <w:rFonts w:cstheme="minorBidi"/>
          <w:b w:val="0"/>
          <w:bCs w:val="0"/>
        </w:rPr>
      </w:pPr>
      <w:r w:rsidRPr="00AB2388">
        <w:rPr>
          <w:rStyle w:val="Strong"/>
        </w:rPr>
        <w:t>2023. aasta kokkuvõtteks ootame hõivatute arvu kasvu aeglustumist 1%ni ning tööpuuduse mõõdukat kasvu.</w:t>
      </w:r>
      <w:r>
        <w:rPr>
          <w:rStyle w:val="Strong"/>
          <w:rFonts w:cstheme="minorBidi"/>
          <w:b w:val="0"/>
          <w:bCs w:val="0"/>
        </w:rPr>
        <w:t xml:space="preserve"> Ettevõtete ootused nii </w:t>
      </w:r>
      <w:proofErr w:type="spellStart"/>
      <w:r>
        <w:rPr>
          <w:rStyle w:val="Strong"/>
          <w:rFonts w:cstheme="minorBidi"/>
          <w:b w:val="0"/>
          <w:bCs w:val="0"/>
        </w:rPr>
        <w:t>lähikvartalite</w:t>
      </w:r>
      <w:proofErr w:type="spellEnd"/>
      <w:r>
        <w:rPr>
          <w:rStyle w:val="Strong"/>
          <w:rFonts w:cstheme="minorBidi"/>
          <w:b w:val="0"/>
          <w:bCs w:val="0"/>
        </w:rPr>
        <w:t xml:space="preserve"> kasvuväljavaatele kui ka uute töötajate palkamisele on madalad, mistõttu aasta teises pooles pöördub hõive langusesse. Seni on töökohtade vähendamist aidanud pehmendada tulude kiirem kasv palgakuludega võrreldes, kuid inflatsiooni pidurdumine vähendab tulude suurendamise perspektiivi. Seetõttu võib käesoleva aasta teises pooles suureneda surve kasumlikkusele ning ettevõtted on üha enam sunnitud töökohti vähendama. Prognoosi kohaselt kasvab hõive käesoleval aastal 1%, kuid see sisaldab ka sõjapõgenike positiivset mõju – ilma sõjapõgeniketa oleks hõive ca 0,8% languses (vt </w:t>
      </w:r>
      <w:r w:rsidR="008C424C">
        <w:rPr>
          <w:rStyle w:val="Strong"/>
          <w:rFonts w:cstheme="minorBidi"/>
          <w:b w:val="0"/>
          <w:bCs w:val="0"/>
        </w:rPr>
        <w:fldChar w:fldCharType="begin"/>
      </w:r>
      <w:r w:rsidR="008C424C">
        <w:rPr>
          <w:rStyle w:val="Strong"/>
          <w:rFonts w:cstheme="minorBidi"/>
          <w:b w:val="0"/>
          <w:bCs w:val="0"/>
        </w:rPr>
        <w:instrText xml:space="preserve"> REF _Ref143713456 \h </w:instrText>
      </w:r>
      <w:r w:rsidR="008C424C">
        <w:rPr>
          <w:rStyle w:val="Strong"/>
          <w:rFonts w:cstheme="minorBidi"/>
          <w:b w:val="0"/>
          <w:bCs w:val="0"/>
        </w:rPr>
      </w:r>
      <w:r w:rsidR="008C424C">
        <w:rPr>
          <w:rStyle w:val="Strong"/>
          <w:rFonts w:cstheme="minorBidi"/>
          <w:b w:val="0"/>
          <w:bCs w:val="0"/>
        </w:rPr>
        <w:fldChar w:fldCharType="separate"/>
      </w:r>
      <w:r w:rsidR="00A377C1">
        <w:t xml:space="preserve">Joonis </w:t>
      </w:r>
      <w:r w:rsidR="00A377C1">
        <w:rPr>
          <w:noProof/>
        </w:rPr>
        <w:t>6</w:t>
      </w:r>
      <w:r w:rsidR="008C424C">
        <w:rPr>
          <w:rStyle w:val="Strong"/>
          <w:rFonts w:cstheme="minorBidi"/>
          <w:b w:val="0"/>
          <w:bCs w:val="0"/>
        </w:rPr>
        <w:fldChar w:fldCharType="end"/>
      </w:r>
      <w:r>
        <w:rPr>
          <w:rStyle w:val="Strong"/>
          <w:rFonts w:cstheme="minorBidi"/>
          <w:b w:val="0"/>
          <w:bCs w:val="0"/>
        </w:rPr>
        <w:t xml:space="preserve">). Tööpuuduse kasv jääb prognoosi kohaselt siiski mõõdukaks ning tipneb järgmise aasta alguses veidi üle 7%. Majanduse kasvurajale pöördudes tööturu </w:t>
      </w:r>
      <w:r>
        <w:rPr>
          <w:rStyle w:val="Strong"/>
          <w:rFonts w:cstheme="minorBidi"/>
          <w:b w:val="0"/>
          <w:bCs w:val="0"/>
        </w:rPr>
        <w:t>olukord taastub ning töötus langeb taas normaaltasemele 6% lähedusse.</w:t>
      </w:r>
    </w:p>
    <w:p w14:paraId="07F555C0" w14:textId="057B6731" w:rsidR="003B7283" w:rsidRDefault="003B7283" w:rsidP="003B7283">
      <w:pPr>
        <w:pStyle w:val="Phitekst"/>
        <w:rPr>
          <w:rStyle w:val="Strong"/>
          <w:rFonts w:cstheme="minorBidi"/>
          <w:b w:val="0"/>
          <w:bCs w:val="0"/>
        </w:rPr>
      </w:pPr>
      <w:r w:rsidRPr="00A67A48">
        <w:rPr>
          <w:rStyle w:val="Strong"/>
        </w:rPr>
        <w:t xml:space="preserve">Palga </w:t>
      </w:r>
      <w:r w:rsidR="008C424C">
        <w:rPr>
          <w:rStyle w:val="Strong"/>
        </w:rPr>
        <w:t xml:space="preserve">reaalkasv taastub tänavu, kuid 2021. aasta ostujõu taseme saavutamine </w:t>
      </w:r>
      <w:r w:rsidRPr="00A67A48">
        <w:rPr>
          <w:rStyle w:val="Strong"/>
        </w:rPr>
        <w:t>võtab aega.</w:t>
      </w:r>
      <w:r>
        <w:rPr>
          <w:rStyle w:val="Strong"/>
          <w:rFonts w:cstheme="minorBidi"/>
          <w:b w:val="0"/>
          <w:bCs w:val="0"/>
        </w:rPr>
        <w:t xml:space="preserve"> Seni on inflatsiooniline keskkond soodustanud ettevõtete hea finantsseisu säilitamist ning majanduse kohandumine on toimunud läbi palgakulude osatähtsuse languse. Käesoleva aasta brutopalga kasvuks ootame 11% ehk palgakasv püsib sisuliselt eelmise aasta tasemel. Inflatsiooni alanedes võib oodata ka palgakasvu normaliseerumist ning edaspidi püsib see majanduskasvuga võrreldes jõukohases tempos, ulatudes järgmisel aastal 6,6%ni ning edaspidi 5% läheduses. Hinnatõusu tõttu vähenes palga ostujõud eelmisel aastal ca 6% võrra, kuid pöördub kasvule käesoleva aasta teises pooles</w:t>
      </w:r>
      <w:r w:rsidR="008C424C">
        <w:rPr>
          <w:rStyle w:val="Strong"/>
          <w:rFonts w:cstheme="minorBidi"/>
          <w:b w:val="0"/>
          <w:bCs w:val="0"/>
        </w:rPr>
        <w:t xml:space="preserve"> (vt </w:t>
      </w:r>
      <w:r w:rsidR="008C424C">
        <w:rPr>
          <w:rStyle w:val="Strong"/>
          <w:rFonts w:cstheme="minorBidi"/>
          <w:b w:val="0"/>
          <w:bCs w:val="0"/>
        </w:rPr>
        <w:fldChar w:fldCharType="begin"/>
      </w:r>
      <w:r w:rsidR="008C424C">
        <w:rPr>
          <w:rStyle w:val="Strong"/>
          <w:rFonts w:cstheme="minorBidi"/>
          <w:b w:val="0"/>
          <w:bCs w:val="0"/>
        </w:rPr>
        <w:instrText xml:space="preserve"> REF _Ref143713489 \h </w:instrText>
      </w:r>
      <w:r w:rsidR="008C424C">
        <w:rPr>
          <w:rStyle w:val="Strong"/>
          <w:rFonts w:cstheme="minorBidi"/>
          <w:b w:val="0"/>
          <w:bCs w:val="0"/>
        </w:rPr>
      </w:r>
      <w:r w:rsidR="008C424C">
        <w:rPr>
          <w:rStyle w:val="Strong"/>
          <w:rFonts w:cstheme="minorBidi"/>
          <w:b w:val="0"/>
          <w:bCs w:val="0"/>
        </w:rPr>
        <w:fldChar w:fldCharType="separate"/>
      </w:r>
      <w:r w:rsidR="00A377C1">
        <w:t xml:space="preserve">Joonis </w:t>
      </w:r>
      <w:r w:rsidR="00A377C1">
        <w:rPr>
          <w:noProof/>
        </w:rPr>
        <w:t>7</w:t>
      </w:r>
      <w:r w:rsidR="008C424C">
        <w:rPr>
          <w:rStyle w:val="Strong"/>
          <w:rFonts w:cstheme="minorBidi"/>
          <w:b w:val="0"/>
          <w:bCs w:val="0"/>
        </w:rPr>
        <w:fldChar w:fldCharType="end"/>
      </w:r>
      <w:r w:rsidR="008C424C">
        <w:rPr>
          <w:rStyle w:val="Strong"/>
          <w:rFonts w:cstheme="minorBidi"/>
          <w:b w:val="0"/>
          <w:bCs w:val="0"/>
        </w:rPr>
        <w:t>)</w:t>
      </w:r>
      <w:r>
        <w:rPr>
          <w:rStyle w:val="Strong"/>
          <w:rFonts w:cstheme="minorBidi"/>
          <w:b w:val="0"/>
          <w:bCs w:val="0"/>
        </w:rPr>
        <w:t>. Palga ostujõud taastub prognoosi kohaselt sõjaeelsele tasemele umbes 2025. aastaks.</w:t>
      </w:r>
    </w:p>
    <w:p w14:paraId="0217403B" w14:textId="621AF1F9" w:rsidR="008C424C" w:rsidRDefault="008C424C" w:rsidP="008C424C">
      <w:pPr>
        <w:pStyle w:val="Caption"/>
        <w:rPr>
          <w:rStyle w:val="Strong"/>
          <w:rFonts w:cstheme="minorBidi"/>
          <w:b/>
          <w:bCs w:val="0"/>
        </w:rPr>
      </w:pPr>
      <w:bookmarkStart w:id="47" w:name="_Ref143713489"/>
      <w:bookmarkStart w:id="48" w:name="_Toc143775522"/>
      <w:r>
        <w:t xml:space="preserve">Joonis </w:t>
      </w:r>
      <w:r w:rsidR="004C0EAE">
        <w:fldChar w:fldCharType="begin"/>
      </w:r>
      <w:r w:rsidR="004C0EAE">
        <w:instrText xml:space="preserve"> SEQ Joonis \* ARABIC </w:instrText>
      </w:r>
      <w:r w:rsidR="004C0EAE">
        <w:fldChar w:fldCharType="separate"/>
      </w:r>
      <w:r w:rsidR="00C5527F">
        <w:rPr>
          <w:noProof/>
        </w:rPr>
        <w:t>7</w:t>
      </w:r>
      <w:r w:rsidR="004C0EAE">
        <w:rPr>
          <w:noProof/>
        </w:rPr>
        <w:fldChar w:fldCharType="end"/>
      </w:r>
      <w:bookmarkEnd w:id="47"/>
      <w:r>
        <w:t>. Palga areng (%)</w:t>
      </w:r>
      <w:bookmarkEnd w:id="48"/>
    </w:p>
    <w:p w14:paraId="64E521CF" w14:textId="7F2EF561" w:rsidR="008C424C" w:rsidRDefault="008C424C" w:rsidP="003B7283">
      <w:pPr>
        <w:pStyle w:val="Phitekst"/>
        <w:rPr>
          <w:rStyle w:val="Strong"/>
          <w:rFonts w:cstheme="minorBidi"/>
          <w:b w:val="0"/>
          <w:bCs w:val="0"/>
        </w:rPr>
      </w:pPr>
      <w:r>
        <w:rPr>
          <w:noProof/>
          <w14:ligatures w14:val="none"/>
        </w:rPr>
        <w:drawing>
          <wp:inline distT="0" distB="0" distL="0" distR="0" wp14:anchorId="47887F5A" wp14:editId="0BE1C3BE">
            <wp:extent cx="2959908" cy="1955654"/>
            <wp:effectExtent l="0" t="0" r="0" b="6985"/>
            <wp:docPr id="2112815739" name="Chart 1">
              <a:extLst xmlns:a="http://schemas.openxmlformats.org/drawingml/2006/main">
                <a:ext uri="{FF2B5EF4-FFF2-40B4-BE49-F238E27FC236}">
                  <a16:creationId xmlns:a16="http://schemas.microsoft.com/office/drawing/2014/main"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DEF44DC" w14:textId="16174F98" w:rsidR="005A3EC6" w:rsidRPr="00414819" w:rsidRDefault="005A3EC6" w:rsidP="009A6374">
      <w:pPr>
        <w:pStyle w:val="Phitekst"/>
        <w:rPr>
          <w:rStyle w:val="Strong"/>
          <w:rFonts w:cstheme="minorBidi"/>
          <w:b w:val="0"/>
          <w:bCs w:val="0"/>
          <w:highlight w:val="yellow"/>
        </w:rPr>
      </w:pPr>
    </w:p>
    <w:p w14:paraId="3E9089C9" w14:textId="5144C1C0" w:rsidR="00300C5C" w:rsidRPr="00414819" w:rsidRDefault="00300C5C" w:rsidP="00BC615A">
      <w:pPr>
        <w:pStyle w:val="Phitekst"/>
        <w:rPr>
          <w:rStyle w:val="Strong"/>
          <w:rFonts w:cstheme="minorBidi"/>
          <w:b w:val="0"/>
          <w:bCs w:val="0"/>
          <w:highlight w:val="yellow"/>
        </w:rPr>
        <w:sectPr w:rsidR="00300C5C" w:rsidRPr="00414819" w:rsidSect="0093189D">
          <w:endnotePr>
            <w:numFmt w:val="decimal"/>
          </w:endnotePr>
          <w:type w:val="continuous"/>
          <w:pgSz w:w="11906" w:h="16838"/>
          <w:pgMar w:top="964" w:right="964" w:bottom="964" w:left="964" w:header="709" w:footer="709" w:gutter="0"/>
          <w:cols w:num="2" w:space="708"/>
          <w:docGrid w:linePitch="360"/>
        </w:sectPr>
      </w:pPr>
    </w:p>
    <w:p w14:paraId="59B8A0D3" w14:textId="77777777" w:rsidR="00300C5C" w:rsidRPr="00414819" w:rsidRDefault="00300C5C" w:rsidP="00300C5C">
      <w:pPr>
        <w:pStyle w:val="Phitekst"/>
        <w:rPr>
          <w:rStyle w:val="Strong"/>
          <w:rFonts w:cstheme="minorBidi"/>
          <w:highlight w:val="yellow"/>
        </w:rPr>
      </w:pPr>
    </w:p>
    <w:p w14:paraId="4D07A667" w14:textId="259282DD" w:rsidR="00CF0EC8" w:rsidRPr="003B7283" w:rsidRDefault="003B7283" w:rsidP="00832933">
      <w:pPr>
        <w:pStyle w:val="Heading2"/>
        <w:sectPr w:rsidR="00CF0EC8" w:rsidRPr="003B7283" w:rsidSect="00C74FB5">
          <w:endnotePr>
            <w:numFmt w:val="decimal"/>
          </w:endnotePr>
          <w:type w:val="continuous"/>
          <w:pgSz w:w="11906" w:h="16838"/>
          <w:pgMar w:top="964" w:right="964" w:bottom="964" w:left="964" w:header="709" w:footer="709" w:gutter="0"/>
          <w:cols w:space="708"/>
          <w:docGrid w:linePitch="360"/>
        </w:sectPr>
      </w:pPr>
      <w:bookmarkStart w:id="49" w:name="_Toc143775498"/>
      <w:r w:rsidRPr="003B7283">
        <w:t>Tarbijah</w:t>
      </w:r>
      <w:r w:rsidR="00CF0EC8" w:rsidRPr="003B7283">
        <w:t>innad</w:t>
      </w:r>
      <w:bookmarkEnd w:id="49"/>
      <w:r w:rsidR="00CF0EC8" w:rsidRPr="003B7283">
        <w:t xml:space="preserve"> </w:t>
      </w:r>
    </w:p>
    <w:p w14:paraId="73A41051" w14:textId="1A8A1ADB" w:rsidR="00D25CF4" w:rsidRPr="00297BF5" w:rsidRDefault="003B7283" w:rsidP="00D25CF4">
      <w:pPr>
        <w:pStyle w:val="Alapunkt"/>
      </w:pPr>
      <w:r w:rsidRPr="00297BF5">
        <w:rPr>
          <w:bCs/>
          <w:iCs/>
          <w:szCs w:val="20"/>
        </w:rPr>
        <w:t xml:space="preserve">Kuigi hinnasurve taandumine </w:t>
      </w:r>
      <w:r w:rsidR="00297BF5" w:rsidRPr="00297BF5">
        <w:rPr>
          <w:bCs/>
          <w:iCs/>
          <w:szCs w:val="20"/>
        </w:rPr>
        <w:t xml:space="preserve">jätkub </w:t>
      </w:r>
      <w:r w:rsidRPr="00297BF5">
        <w:rPr>
          <w:bCs/>
          <w:iCs/>
          <w:szCs w:val="20"/>
        </w:rPr>
        <w:t>2024</w:t>
      </w:r>
      <w:r w:rsidR="00297BF5" w:rsidRPr="00297BF5">
        <w:rPr>
          <w:bCs/>
          <w:iCs/>
          <w:szCs w:val="20"/>
        </w:rPr>
        <w:t>. aastal</w:t>
      </w:r>
      <w:r w:rsidRPr="00297BF5">
        <w:rPr>
          <w:bCs/>
          <w:iCs/>
          <w:szCs w:val="20"/>
        </w:rPr>
        <w:t>, hoiavad inflatsiooni jõulisemat pidurdumist tagasi maksumeetmed</w:t>
      </w:r>
      <w:r w:rsidRPr="00297BF5">
        <w:rPr>
          <w:rFonts w:cstheme="minorHAnsi"/>
          <w:iCs/>
        </w:rPr>
        <w:t>.</w:t>
      </w:r>
    </w:p>
    <w:p w14:paraId="7812E34A" w14:textId="77777777" w:rsidR="00D25CF4" w:rsidRPr="00414819" w:rsidRDefault="00D25CF4" w:rsidP="00D25CF4">
      <w:pPr>
        <w:pStyle w:val="Alapunkt"/>
        <w:rPr>
          <w:highlight w:val="yellow"/>
        </w:rPr>
        <w:sectPr w:rsidR="00D25CF4" w:rsidRPr="00414819" w:rsidSect="0070220F">
          <w:endnotePr>
            <w:numFmt w:val="decimal"/>
          </w:endnotePr>
          <w:type w:val="continuous"/>
          <w:pgSz w:w="11906" w:h="16838"/>
          <w:pgMar w:top="964" w:right="964" w:bottom="964" w:left="964" w:header="709" w:footer="709" w:gutter="0"/>
          <w:cols w:space="708"/>
          <w:docGrid w:linePitch="360"/>
        </w:sectPr>
      </w:pPr>
    </w:p>
    <w:p w14:paraId="26524447" w14:textId="349AFEC0" w:rsidR="003B7283" w:rsidRPr="00052D5F" w:rsidRDefault="003B7283" w:rsidP="003B7283">
      <w:pPr>
        <w:jc w:val="both"/>
        <w:rPr>
          <w:rFonts w:cstheme="minorHAnsi"/>
        </w:rPr>
      </w:pPr>
      <w:r w:rsidRPr="003B7283">
        <w:rPr>
          <w:rStyle w:val="Strong"/>
        </w:rPr>
        <w:t>Globaalsete tarnehäirete, energiakriisi ja Ukraina sõja järelmite koosmõju tõi kaasa väga kiire inflatsiooni nii Eestis kui euroalal laiemalt.</w:t>
      </w:r>
      <w:r w:rsidRPr="00052D5F">
        <w:rPr>
          <w:rFonts w:cstheme="minorHAnsi"/>
        </w:rPr>
        <w:t xml:space="preserve"> Tarbijahindade tõus oli euroala/EL kiireim ning selle tulemusena tõusis Eesti hinnatase möödunud aastal 94,6%ni EL keskmisest (2021 aastal 87%). </w:t>
      </w:r>
      <w:r w:rsidR="00E62684" w:rsidRPr="00E62684">
        <w:rPr>
          <w:rFonts w:cstheme="minorHAnsi"/>
        </w:rPr>
        <w:t>Sealjuures ületavad toidu hinnad juba EL keskmist taset</w:t>
      </w:r>
      <w:r w:rsidRPr="00052D5F">
        <w:rPr>
          <w:rFonts w:cstheme="minorHAnsi"/>
        </w:rPr>
        <w:t xml:space="preserve">. Eesti väga kiiret hinnatõusu võib osalt seletada paindlikuma hinnakujundusega, mistõttu jõuab sisendite kallinemine ka kiiremini hindadesse, aga ka siinsete ettevõtete kasumite jõulise kasvatamisega </w:t>
      </w:r>
      <w:r w:rsidRPr="00052D5F">
        <w:rPr>
          <w:rFonts w:cstheme="minorHAnsi"/>
        </w:rPr>
        <w:t>mitmetes tegevusalades. Vaatamata keerulisele majanduskonjunktuurile tõsteti hindu rohkem kui energia-, palga- ja muud kulud suurenes</w:t>
      </w:r>
      <w:r w:rsidR="00ED3098">
        <w:rPr>
          <w:rFonts w:cstheme="minorHAnsi"/>
        </w:rPr>
        <w:t>id</w:t>
      </w:r>
      <w:r w:rsidRPr="00052D5F">
        <w:rPr>
          <w:rFonts w:cstheme="minorHAnsi"/>
        </w:rPr>
        <w:t>.</w:t>
      </w:r>
    </w:p>
    <w:p w14:paraId="3D1217B5" w14:textId="67080A29" w:rsidR="003B7283" w:rsidRPr="00C103CF" w:rsidRDefault="003B7283" w:rsidP="003B7283">
      <w:pPr>
        <w:jc w:val="both"/>
        <w:rPr>
          <w:rFonts w:cstheme="minorHAnsi"/>
        </w:rPr>
      </w:pPr>
      <w:r w:rsidRPr="003B7283">
        <w:rPr>
          <w:rStyle w:val="Strong"/>
        </w:rPr>
        <w:t>2023. aasta esimesel poolel on inflatsioon energiahindade langusesse pöördumise ja toidu ning teenuste taanduva hinnatõusu mõjul kiirelt aeglustunud.</w:t>
      </w:r>
      <w:r w:rsidRPr="00052D5F">
        <w:rPr>
          <w:rFonts w:cstheme="minorHAnsi"/>
        </w:rPr>
        <w:t xml:space="preserve"> Inflatsioon aeglustus aasta alguse 18,6%lt juulis 6,4%ni (euroalal 5,3%ni), mis on pea kahe aasta aeglaseim. Inflatsioonitempo poolest ei ole Eesti enam euroala tipus, vaid oleme keskmike seas. Kuna väga kiire hinnatõusu periood jäi </w:t>
      </w:r>
      <w:r w:rsidRPr="00052D5F">
        <w:rPr>
          <w:rFonts w:cstheme="minorHAnsi"/>
        </w:rPr>
        <w:lastRenderedPageBreak/>
        <w:t xml:space="preserve">möödunud aasta kevad-suvekuudesse, siis on </w:t>
      </w:r>
      <w:r w:rsidR="00ED3098">
        <w:rPr>
          <w:rFonts w:cstheme="minorHAnsi"/>
        </w:rPr>
        <w:t xml:space="preserve">tugev </w:t>
      </w:r>
      <w:r w:rsidRPr="00052D5F">
        <w:rPr>
          <w:rFonts w:cstheme="minorHAnsi"/>
        </w:rPr>
        <w:t>võrdlusbaas koos energiakandjate odavnemisega inflatsiooni aeglustumise peamiseks teguriks.</w:t>
      </w:r>
    </w:p>
    <w:p w14:paraId="7A245244" w14:textId="690A2AEC" w:rsidR="003B7283" w:rsidRDefault="003B7283" w:rsidP="003B7283">
      <w:pPr>
        <w:jc w:val="both"/>
        <w:rPr>
          <w:bCs/>
          <w:szCs w:val="20"/>
        </w:rPr>
      </w:pPr>
      <w:r w:rsidRPr="003B7283">
        <w:rPr>
          <w:rStyle w:val="Strong"/>
          <w:bCs w:val="0"/>
        </w:rPr>
        <w:t>Energia oli juulis 10% odavam kui aasta tagasi.</w:t>
      </w:r>
      <w:r>
        <w:rPr>
          <w:bCs/>
          <w:szCs w:val="20"/>
        </w:rPr>
        <w:t xml:space="preserve"> Suurim hinnalangus on toimunud gaasi osas (-66%), mis oli eelmisel suvel kõrgtasemel energiakriisi tõttu. Mootorikütuse hinnad on langenud aastatagusega pea viiendiku. Vaatamata alanenud toidutoorme hindadele ja madalamatele energiakuludele, on toiduainete hinnatõusu pidurdumine Eestis teiste euroala riikidega võrreldes olnud suhteliselt tagasihoidlik</w:t>
      </w:r>
      <w:r w:rsidR="00ED3098">
        <w:rPr>
          <w:bCs/>
          <w:szCs w:val="20"/>
        </w:rPr>
        <w:t>.</w:t>
      </w:r>
      <w:r>
        <w:rPr>
          <w:bCs/>
          <w:szCs w:val="20"/>
        </w:rPr>
        <w:t xml:space="preserve"> </w:t>
      </w:r>
      <w:r w:rsidR="00ED3098">
        <w:rPr>
          <w:bCs/>
          <w:szCs w:val="20"/>
        </w:rPr>
        <w:t>O</w:t>
      </w:r>
      <w:r>
        <w:rPr>
          <w:bCs/>
          <w:szCs w:val="20"/>
        </w:rPr>
        <w:t xml:space="preserve">leme </w:t>
      </w:r>
      <w:r w:rsidR="00ED3098">
        <w:rPr>
          <w:bCs/>
          <w:szCs w:val="20"/>
        </w:rPr>
        <w:t xml:space="preserve">üks </w:t>
      </w:r>
      <w:r>
        <w:rPr>
          <w:bCs/>
          <w:szCs w:val="20"/>
        </w:rPr>
        <w:t xml:space="preserve">kiireima toiduhindade tõusuga </w:t>
      </w:r>
      <w:r w:rsidR="00ED3098">
        <w:rPr>
          <w:bCs/>
          <w:szCs w:val="20"/>
        </w:rPr>
        <w:t xml:space="preserve">riike </w:t>
      </w:r>
      <w:r>
        <w:rPr>
          <w:bCs/>
          <w:szCs w:val="20"/>
        </w:rPr>
        <w:t xml:space="preserve">euroalal. Ilmselt on see seotud toidutööstuse ja </w:t>
      </w:r>
      <w:proofErr w:type="spellStart"/>
      <w:r>
        <w:rPr>
          <w:bCs/>
          <w:szCs w:val="20"/>
        </w:rPr>
        <w:t>jaekettide</w:t>
      </w:r>
      <w:proofErr w:type="spellEnd"/>
      <w:r>
        <w:rPr>
          <w:bCs/>
          <w:szCs w:val="20"/>
        </w:rPr>
        <w:t xml:space="preserve"> marginaalide taastamisega, mis mullu langesid madalale, kuna sisendite kallinemist ei õnnestunud kogu ulatuses lõpphindadesse lisada.</w:t>
      </w:r>
    </w:p>
    <w:p w14:paraId="5E7500E6" w14:textId="2F303FBE" w:rsidR="003B7283" w:rsidRPr="000A1D5E" w:rsidRDefault="003B7283" w:rsidP="003B7283">
      <w:pPr>
        <w:jc w:val="both"/>
        <w:rPr>
          <w:bCs/>
          <w:szCs w:val="20"/>
        </w:rPr>
      </w:pPr>
      <w:r w:rsidRPr="003B7283">
        <w:rPr>
          <w:rStyle w:val="Strong"/>
          <w:bCs w:val="0"/>
        </w:rPr>
        <w:t>Baasinflatsioon, millest on kõikuvamate hindadega energia ja toit välja arvatud, on aasta alguse 12% lähedaselt tasemelt aeglustunud 7,5%ni.</w:t>
      </w:r>
      <w:r>
        <w:rPr>
          <w:bCs/>
          <w:szCs w:val="20"/>
        </w:rPr>
        <w:t xml:space="preserve"> Kuigi suvine reisimis- ja puhkuste periood hoiab osade teenuste hindu kõrgena, on nõrk majanduskonjunktuur ja majapidamiste säästupuhvrite vähenemine soosinud teenuste ja tööstuskaupade hinnatõusu pidurdumist. Sealjuures on üürihinnad kinnisvaraturu nõrkuse tõttu languses.</w:t>
      </w:r>
    </w:p>
    <w:p w14:paraId="49B05DAF" w14:textId="3D163350" w:rsidR="003B7283" w:rsidRDefault="003B7283" w:rsidP="003B7283">
      <w:pPr>
        <w:jc w:val="both"/>
        <w:rPr>
          <w:bCs/>
          <w:szCs w:val="20"/>
        </w:rPr>
      </w:pPr>
      <w:r w:rsidRPr="003B7283">
        <w:rPr>
          <w:rStyle w:val="Strong"/>
          <w:bCs w:val="0"/>
        </w:rPr>
        <w:t>Aasta teist poolt iseloomustab inflatsiooni stabiliseerumine.</w:t>
      </w:r>
      <w:r>
        <w:rPr>
          <w:bCs/>
          <w:szCs w:val="20"/>
        </w:rPr>
        <w:t xml:space="preserve"> Tulenevalt aastatagusest energiahindade tipust jääb inflatsiooni madaltase ilmselt augustisse-septembrisse, seejärel peaks energiahindade langus läbi saama. Lisaks võib oodata baasinflatsiooni ja toidu hinnatõusu aeglustumise jätkumist. Samas võivad toiduainete hindu hakata mõjutama saagikuse probleemid, </w:t>
      </w:r>
      <w:r>
        <w:rPr>
          <w:bCs/>
          <w:szCs w:val="20"/>
        </w:rPr>
        <w:t>eelkõige Lõuna-Euroopa põua mõjud aiasaaduste hindadele. 2023. aasta kokkuvõttes tõusevad tarbijahinnad 9,6%.</w:t>
      </w:r>
    </w:p>
    <w:p w14:paraId="34376B9F" w14:textId="046305D0" w:rsidR="008574FF" w:rsidRPr="00414819" w:rsidRDefault="003B7283" w:rsidP="008574FF">
      <w:pPr>
        <w:pStyle w:val="Phitekst"/>
        <w:rPr>
          <w:rStyle w:val="Strong"/>
          <w:rFonts w:cstheme="minorBidi"/>
          <w:b w:val="0"/>
          <w:bCs w:val="0"/>
          <w:highlight w:val="yellow"/>
        </w:rPr>
      </w:pPr>
      <w:r w:rsidRPr="00297BF5">
        <w:rPr>
          <w:rStyle w:val="Strong"/>
          <w:bCs w:val="0"/>
        </w:rPr>
        <w:t>2024. aastal ulatub tarbijahindade tõus 4,6%ni</w:t>
      </w:r>
      <w:r w:rsidR="003B6466" w:rsidRPr="00297BF5">
        <w:rPr>
          <w:rStyle w:val="Strong"/>
          <w:bCs w:val="0"/>
        </w:rPr>
        <w:t>, millest KM määra tõstmise arvele jääb 1,4</w:t>
      </w:r>
      <w:r w:rsidR="009711DC">
        <w:rPr>
          <w:rStyle w:val="Strong"/>
          <w:bCs w:val="0"/>
        </w:rPr>
        <w:t> </w:t>
      </w:r>
      <w:r w:rsidR="003B6466" w:rsidRPr="00297BF5">
        <w:rPr>
          <w:rStyle w:val="Strong"/>
          <w:bCs w:val="0"/>
        </w:rPr>
        <w:t>protsendipunkti.</w:t>
      </w:r>
      <w:r>
        <w:rPr>
          <w:bCs/>
          <w:szCs w:val="20"/>
        </w:rPr>
        <w:t xml:space="preserve"> Hinnasurve taandumine on peamiste kaubagruppide osas jätkumas, aga inflatsiooni jõulisemat pidurdumist hoiavad tagasi eelarvepositsiooni parandamiseks kehtestatud maksumeetmed. Arvestades, et käibemaksumäära tõstmine kandub kogu ulatuses tarbijahindadesse, ulatub selle meetme panus järgmise aasta THI-</w:t>
      </w:r>
      <w:proofErr w:type="spellStart"/>
      <w:r>
        <w:rPr>
          <w:bCs/>
          <w:szCs w:val="20"/>
        </w:rPr>
        <w:t>le</w:t>
      </w:r>
      <w:proofErr w:type="spellEnd"/>
      <w:r>
        <w:rPr>
          <w:bCs/>
          <w:szCs w:val="20"/>
        </w:rPr>
        <w:t xml:space="preserve"> 1,4</w:t>
      </w:r>
      <w:r w:rsidR="009711DC">
        <w:rPr>
          <w:bCs/>
          <w:szCs w:val="20"/>
        </w:rPr>
        <w:t> </w:t>
      </w:r>
      <w:r>
        <w:rPr>
          <w:bCs/>
          <w:szCs w:val="20"/>
        </w:rPr>
        <w:t>protsendipunktini. Tööstuskaupade ja teenuste tagasihoidlikumat hinnatõusu soosib palgakasvu pidurdumine, energiahindade eeldatav stabiliseerumine</w:t>
      </w:r>
      <w:r w:rsidR="00885DAD">
        <w:rPr>
          <w:bCs/>
          <w:szCs w:val="20"/>
        </w:rPr>
        <w:t>,</w:t>
      </w:r>
      <w:r>
        <w:rPr>
          <w:bCs/>
          <w:szCs w:val="20"/>
        </w:rPr>
        <w:t xml:space="preserve"> aga ka odavnenud toorme ja rahvusvahelise kaubaveo järk-järguline kandumine tööstuskaupade hindadesse. 2025. aastal aeglustub tarbijahindade tõus 2,5%ni. Prognoosiperioodi teises pooles pidurdab mõnevõrra tarbijahindade tõusu tulevikutehingutest tulenev energiahindade langus</w:t>
      </w:r>
      <w:r w:rsidRPr="00C103CF">
        <w:rPr>
          <w:rFonts w:cstheme="minorHAnsi"/>
        </w:rPr>
        <w:t>.</w:t>
      </w:r>
    </w:p>
    <w:p w14:paraId="694F0365" w14:textId="06B56F50" w:rsidR="00101BC9" w:rsidRPr="005C1521" w:rsidRDefault="00101BC9" w:rsidP="00101BC9">
      <w:pPr>
        <w:pStyle w:val="Caption"/>
        <w:rPr>
          <w:rStyle w:val="Strong"/>
          <w:rFonts w:cstheme="minorBidi"/>
          <w:b/>
          <w:bCs w:val="0"/>
        </w:rPr>
      </w:pPr>
      <w:bookmarkStart w:id="50" w:name="_Toc143775523"/>
      <w:r w:rsidRPr="005C1521">
        <w:t xml:space="preserve">Joonis </w:t>
      </w:r>
      <w:r w:rsidR="004C0EAE">
        <w:fldChar w:fldCharType="begin"/>
      </w:r>
      <w:r w:rsidR="004C0EAE">
        <w:instrText xml:space="preserve"> SEQ Joonis \* ARABIC </w:instrText>
      </w:r>
      <w:r w:rsidR="004C0EAE">
        <w:fldChar w:fldCharType="separate"/>
      </w:r>
      <w:r w:rsidR="00C5527F">
        <w:rPr>
          <w:noProof/>
        </w:rPr>
        <w:t>8</w:t>
      </w:r>
      <w:r w:rsidR="004C0EAE">
        <w:rPr>
          <w:noProof/>
        </w:rPr>
        <w:fldChar w:fldCharType="end"/>
      </w:r>
      <w:r w:rsidRPr="005C1521">
        <w:t>. Hindade dünaamika (%)</w:t>
      </w:r>
      <w:bookmarkEnd w:id="50"/>
    </w:p>
    <w:p w14:paraId="62B0F7FE" w14:textId="10BA969A" w:rsidR="00101BC9" w:rsidRPr="00414819" w:rsidRDefault="005C1521" w:rsidP="008574FF">
      <w:pPr>
        <w:pStyle w:val="Phitekst"/>
        <w:rPr>
          <w:rStyle w:val="Strong"/>
          <w:rFonts w:cstheme="minorBidi"/>
          <w:b w:val="0"/>
          <w:bCs w:val="0"/>
          <w:highlight w:val="yellow"/>
        </w:rPr>
      </w:pPr>
      <w:r>
        <w:rPr>
          <w:noProof/>
          <w14:ligatures w14:val="none"/>
        </w:rPr>
        <w:drawing>
          <wp:inline distT="0" distB="0" distL="0" distR="0" wp14:anchorId="61303BD4" wp14:editId="135D5C9B">
            <wp:extent cx="2943225" cy="1969770"/>
            <wp:effectExtent l="0" t="0" r="0" b="0"/>
            <wp:docPr id="248280488" name="Chart 1">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EB05DBA" w14:textId="77777777" w:rsidR="00A805E9" w:rsidRPr="00414819" w:rsidRDefault="00A805E9" w:rsidP="006A5CB8">
      <w:pPr>
        <w:pStyle w:val="Phitekst"/>
        <w:rPr>
          <w:highlight w:val="yellow"/>
        </w:rPr>
      </w:pPr>
    </w:p>
    <w:p w14:paraId="29CEF596" w14:textId="75B07CCB" w:rsidR="000F05E3" w:rsidRPr="00414819" w:rsidRDefault="000F05E3" w:rsidP="006A5CB8">
      <w:pPr>
        <w:pStyle w:val="Phitekst"/>
        <w:rPr>
          <w:highlight w:val="yellow"/>
        </w:rPr>
        <w:sectPr w:rsidR="000F05E3" w:rsidRPr="00414819" w:rsidSect="0093189D">
          <w:endnotePr>
            <w:numFmt w:val="decimal"/>
          </w:endnotePr>
          <w:type w:val="continuous"/>
          <w:pgSz w:w="11906" w:h="16838"/>
          <w:pgMar w:top="964" w:right="964" w:bottom="964" w:left="964" w:header="709" w:footer="709" w:gutter="0"/>
          <w:cols w:num="2" w:space="708"/>
          <w:docGrid w:linePitch="360"/>
        </w:sectPr>
      </w:pPr>
    </w:p>
    <w:p w14:paraId="53CCD315" w14:textId="083AF72C" w:rsidR="00B7291B" w:rsidRPr="00414819" w:rsidRDefault="00B7291B" w:rsidP="000F05E3">
      <w:pPr>
        <w:pStyle w:val="Phitekst"/>
        <w:rPr>
          <w:highlight w:val="yellow"/>
        </w:rPr>
      </w:pPr>
      <w:bookmarkStart w:id="51" w:name="_Toc64504549"/>
      <w:bookmarkStart w:id="52" w:name="_Toc64844887"/>
      <w:bookmarkStart w:id="53" w:name="_Toc62631828"/>
    </w:p>
    <w:p w14:paraId="4D6F29B7" w14:textId="77777777" w:rsidR="00832933" w:rsidRPr="00D05A66" w:rsidRDefault="00832933" w:rsidP="00832933">
      <w:pPr>
        <w:pStyle w:val="Heading2"/>
        <w:sectPr w:rsidR="00832933" w:rsidRPr="00D05A66" w:rsidSect="00C74FB5">
          <w:endnotePr>
            <w:numFmt w:val="decimal"/>
          </w:endnotePr>
          <w:type w:val="continuous"/>
          <w:pgSz w:w="11906" w:h="16838"/>
          <w:pgMar w:top="964" w:right="964" w:bottom="964" w:left="964" w:header="709" w:footer="709" w:gutter="0"/>
          <w:cols w:space="708"/>
          <w:docGrid w:linePitch="360"/>
        </w:sectPr>
      </w:pPr>
      <w:bookmarkStart w:id="54" w:name="_Toc143775499"/>
      <w:r w:rsidRPr="00D05A66">
        <w:t>Majanduse kasvupotentsiaal ja majandustsükkel</w:t>
      </w:r>
      <w:bookmarkEnd w:id="54"/>
      <w:r w:rsidRPr="00D05A66">
        <w:t xml:space="preserve"> </w:t>
      </w:r>
    </w:p>
    <w:p w14:paraId="3CA02C25" w14:textId="77777777" w:rsidR="00832933" w:rsidRPr="00720548" w:rsidRDefault="00832933" w:rsidP="00832933">
      <w:pPr>
        <w:pStyle w:val="Phitekst"/>
        <w:rPr>
          <w:rStyle w:val="Strong"/>
          <w:rFonts w:cstheme="minorBidi"/>
          <w:b w:val="0"/>
          <w:bCs w:val="0"/>
        </w:rPr>
      </w:pPr>
      <w:r w:rsidRPr="00720548">
        <w:rPr>
          <w:rStyle w:val="Strong"/>
        </w:rPr>
        <w:t>Eelarvestiimuli toel taastus Eesti majandus koroonakriisist kiiresti.</w:t>
      </w:r>
      <w:r w:rsidRPr="00720548">
        <w:rPr>
          <w:rStyle w:val="Strong"/>
          <w:rFonts w:cstheme="minorBidi"/>
          <w:b w:val="0"/>
          <w:bCs w:val="0"/>
        </w:rPr>
        <w:t xml:space="preserve"> Majanduse suhteline avatus ning valitsuste eelarvestiimul aitas kriisi paremini üle elada, kuid paratamatult võis see osades tegevusalades pingeid tekitada. Eelarvestiimulit olid valmis paremini vastu võtma need tegevusalad, mis olid avatud ehk vähem kammitsetud koroonapiirangutest, kuid need ei olnud tingimata needsamad tegevusalad, mis koroonakriisi tõttu kannatasid. See tähendab, et valitsuste stiimul ei </w:t>
      </w:r>
      <w:r w:rsidRPr="00720548">
        <w:rPr>
          <w:rStyle w:val="Strong"/>
          <w:rFonts w:cstheme="minorBidi"/>
          <w:b w:val="0"/>
          <w:bCs w:val="0"/>
        </w:rPr>
        <w:t>olnud alati kõige paremini suunatud ning täiendava raha paiskamine majandusse sundis osasid tegevusalasid tegutsema oma võimete piiril. Tõenäoliselt said ühekordse nõudlustõuke nii ehitus, tööstus kui ka info ja side tegevusala.</w:t>
      </w:r>
    </w:p>
    <w:p w14:paraId="6B29CCAB" w14:textId="76F291EB" w:rsidR="00720548" w:rsidRDefault="003B7283" w:rsidP="003B7283">
      <w:pPr>
        <w:pStyle w:val="Phitekst"/>
        <w:rPr>
          <w:rStyle w:val="Strong"/>
          <w:rFonts w:cstheme="minorBidi"/>
          <w:b w:val="0"/>
          <w:bCs w:val="0"/>
        </w:rPr>
      </w:pPr>
      <w:r w:rsidRPr="00832933">
        <w:rPr>
          <w:rStyle w:val="Strong"/>
        </w:rPr>
        <w:t xml:space="preserve">Käesolev kriis ei ole päris tavapärane majanduskriis ning </w:t>
      </w:r>
      <w:r>
        <w:rPr>
          <w:rStyle w:val="Strong"/>
        </w:rPr>
        <w:t xml:space="preserve">reaalse SKP järgi hinnatud </w:t>
      </w:r>
      <w:r w:rsidRPr="00832933">
        <w:rPr>
          <w:rStyle w:val="Strong"/>
        </w:rPr>
        <w:t xml:space="preserve">toodangulõhe ei </w:t>
      </w:r>
      <w:r>
        <w:rPr>
          <w:rStyle w:val="Strong"/>
        </w:rPr>
        <w:t xml:space="preserve">pruugi näidata majandustsükli </w:t>
      </w:r>
      <w:r w:rsidRPr="00832933">
        <w:rPr>
          <w:rStyle w:val="Strong"/>
        </w:rPr>
        <w:t>mõju eelarvele.</w:t>
      </w:r>
      <w:r w:rsidRPr="00D17432">
        <w:rPr>
          <w:rStyle w:val="Strong"/>
          <w:rFonts w:cstheme="minorBidi"/>
          <w:b w:val="0"/>
          <w:bCs w:val="0"/>
        </w:rPr>
        <w:t xml:space="preserve"> </w:t>
      </w:r>
      <w:r w:rsidR="00297BF5">
        <w:rPr>
          <w:rStyle w:val="Strong"/>
          <w:rFonts w:cstheme="minorBidi"/>
          <w:b w:val="0"/>
          <w:bCs w:val="0"/>
        </w:rPr>
        <w:t xml:space="preserve">Varasemates kriisides on </w:t>
      </w:r>
      <w:r w:rsidRPr="00D17432">
        <w:rPr>
          <w:rStyle w:val="Strong"/>
          <w:rFonts w:cstheme="minorBidi"/>
          <w:b w:val="0"/>
          <w:bCs w:val="0"/>
        </w:rPr>
        <w:t xml:space="preserve">reaalse </w:t>
      </w:r>
      <w:r w:rsidRPr="00D17432">
        <w:rPr>
          <w:rStyle w:val="Strong"/>
          <w:rFonts w:cstheme="minorBidi"/>
          <w:b w:val="0"/>
          <w:bCs w:val="0"/>
        </w:rPr>
        <w:lastRenderedPageBreak/>
        <w:t xml:space="preserve">majanduslangusega </w:t>
      </w:r>
      <w:r w:rsidR="00297BF5">
        <w:rPr>
          <w:rStyle w:val="Strong"/>
          <w:rFonts w:cstheme="minorBidi"/>
          <w:b w:val="0"/>
          <w:bCs w:val="0"/>
        </w:rPr>
        <w:t xml:space="preserve">kaasnenud </w:t>
      </w:r>
      <w:r w:rsidRPr="00D17432">
        <w:rPr>
          <w:rStyle w:val="Strong"/>
          <w:rFonts w:cstheme="minorBidi"/>
          <w:b w:val="0"/>
          <w:bCs w:val="0"/>
        </w:rPr>
        <w:t>tööpuuduse järsk kasv ning palgakasvu ja tarbimise aeglustumine</w:t>
      </w:r>
      <w:r w:rsidR="00297BF5">
        <w:rPr>
          <w:rStyle w:val="Strong"/>
          <w:rFonts w:cstheme="minorBidi"/>
          <w:b w:val="0"/>
          <w:bCs w:val="0"/>
        </w:rPr>
        <w:t>.</w:t>
      </w:r>
      <w:r w:rsidRPr="00D17432">
        <w:rPr>
          <w:rStyle w:val="Strong"/>
          <w:rFonts w:cstheme="minorBidi"/>
          <w:b w:val="0"/>
          <w:bCs w:val="0"/>
        </w:rPr>
        <w:t xml:space="preserve"> </w:t>
      </w:r>
      <w:r w:rsidR="00297BF5">
        <w:rPr>
          <w:rStyle w:val="Strong"/>
          <w:rFonts w:cstheme="minorBidi"/>
          <w:b w:val="0"/>
          <w:bCs w:val="0"/>
        </w:rPr>
        <w:t>See</w:t>
      </w:r>
      <w:r w:rsidRPr="00D17432">
        <w:rPr>
          <w:rStyle w:val="Strong"/>
          <w:rFonts w:cstheme="minorBidi"/>
          <w:b w:val="0"/>
          <w:bCs w:val="0"/>
        </w:rPr>
        <w:t xml:space="preserve">tõttu </w:t>
      </w:r>
      <w:r w:rsidR="00297BF5">
        <w:rPr>
          <w:rStyle w:val="Strong"/>
          <w:rFonts w:cstheme="minorBidi"/>
          <w:b w:val="0"/>
          <w:bCs w:val="0"/>
        </w:rPr>
        <w:t xml:space="preserve">toob kriis reeglina kaasa </w:t>
      </w:r>
      <w:r w:rsidRPr="00D17432">
        <w:rPr>
          <w:rStyle w:val="Strong"/>
          <w:rFonts w:cstheme="minorBidi"/>
          <w:b w:val="0"/>
          <w:bCs w:val="0"/>
        </w:rPr>
        <w:t>riigi rahanduse seis</w:t>
      </w:r>
      <w:r w:rsidR="00297BF5">
        <w:rPr>
          <w:rStyle w:val="Strong"/>
          <w:rFonts w:cstheme="minorBidi"/>
          <w:b w:val="0"/>
          <w:bCs w:val="0"/>
        </w:rPr>
        <w:t xml:space="preserve">u järsu halvenemise läbi </w:t>
      </w:r>
      <w:r w:rsidRPr="00D17432">
        <w:rPr>
          <w:rStyle w:val="Strong"/>
          <w:rFonts w:cstheme="minorBidi"/>
          <w:b w:val="0"/>
          <w:bCs w:val="0"/>
        </w:rPr>
        <w:t>maksutulud</w:t>
      </w:r>
      <w:r w:rsidR="00297BF5">
        <w:rPr>
          <w:rStyle w:val="Strong"/>
          <w:rFonts w:cstheme="minorBidi"/>
          <w:b w:val="0"/>
          <w:bCs w:val="0"/>
        </w:rPr>
        <w:t>e</w:t>
      </w:r>
      <w:r w:rsidRPr="00D17432">
        <w:rPr>
          <w:rStyle w:val="Strong"/>
          <w:rFonts w:cstheme="minorBidi"/>
          <w:b w:val="0"/>
          <w:bCs w:val="0"/>
        </w:rPr>
        <w:t xml:space="preserve"> </w:t>
      </w:r>
      <w:r w:rsidR="00885DAD" w:rsidRPr="00D17432">
        <w:rPr>
          <w:rStyle w:val="Strong"/>
          <w:rFonts w:cstheme="minorBidi"/>
          <w:b w:val="0"/>
          <w:bCs w:val="0"/>
        </w:rPr>
        <w:t>vähene</w:t>
      </w:r>
      <w:r w:rsidR="00885DAD">
        <w:rPr>
          <w:rStyle w:val="Strong"/>
          <w:rFonts w:cstheme="minorBidi"/>
          <w:b w:val="0"/>
          <w:bCs w:val="0"/>
        </w:rPr>
        <w:t>mise</w:t>
      </w:r>
      <w:r w:rsidR="00885DAD" w:rsidRPr="00D17432">
        <w:rPr>
          <w:rStyle w:val="Strong"/>
          <w:rFonts w:cstheme="minorBidi"/>
          <w:b w:val="0"/>
          <w:bCs w:val="0"/>
        </w:rPr>
        <w:t xml:space="preserve"> </w:t>
      </w:r>
      <w:r w:rsidR="00297BF5">
        <w:rPr>
          <w:rStyle w:val="Strong"/>
          <w:rFonts w:cstheme="minorBidi"/>
          <w:b w:val="0"/>
          <w:bCs w:val="0"/>
        </w:rPr>
        <w:t xml:space="preserve">ja </w:t>
      </w:r>
      <w:r w:rsidRPr="00D17432">
        <w:rPr>
          <w:rStyle w:val="Strong"/>
          <w:rFonts w:cstheme="minorBidi"/>
          <w:b w:val="0"/>
          <w:bCs w:val="0"/>
        </w:rPr>
        <w:t>töötusega seotud kulud</w:t>
      </w:r>
      <w:r w:rsidR="00297BF5">
        <w:rPr>
          <w:rStyle w:val="Strong"/>
          <w:rFonts w:cstheme="minorBidi"/>
          <w:b w:val="0"/>
          <w:bCs w:val="0"/>
        </w:rPr>
        <w:t>e</w:t>
      </w:r>
      <w:r w:rsidR="00885DAD" w:rsidRPr="00885DAD">
        <w:rPr>
          <w:rStyle w:val="Strong"/>
          <w:rFonts w:cstheme="minorBidi"/>
          <w:b w:val="0"/>
          <w:bCs w:val="0"/>
        </w:rPr>
        <w:t xml:space="preserve"> </w:t>
      </w:r>
      <w:r w:rsidR="00885DAD" w:rsidRPr="00D17432">
        <w:rPr>
          <w:rStyle w:val="Strong"/>
          <w:rFonts w:cstheme="minorBidi"/>
          <w:b w:val="0"/>
          <w:bCs w:val="0"/>
        </w:rPr>
        <w:t>suurene</w:t>
      </w:r>
      <w:r w:rsidR="00885DAD">
        <w:rPr>
          <w:rStyle w:val="Strong"/>
          <w:rFonts w:cstheme="minorBidi"/>
          <w:b w:val="0"/>
          <w:bCs w:val="0"/>
        </w:rPr>
        <w:t>mise</w:t>
      </w:r>
      <w:r w:rsidRPr="00D17432">
        <w:rPr>
          <w:rStyle w:val="Strong"/>
          <w:rFonts w:cstheme="minorBidi"/>
          <w:b w:val="0"/>
          <w:bCs w:val="0"/>
        </w:rPr>
        <w:t xml:space="preserve">. Praegu on kiire hinnatõusu tõttu maksulaekumiste seis tugev ning </w:t>
      </w:r>
      <w:r w:rsidR="00297BF5">
        <w:rPr>
          <w:rStyle w:val="Strong"/>
          <w:rFonts w:cstheme="minorBidi"/>
          <w:b w:val="0"/>
          <w:bCs w:val="0"/>
        </w:rPr>
        <w:t xml:space="preserve">ainult veidi suurenenud </w:t>
      </w:r>
      <w:r w:rsidRPr="00D17432">
        <w:rPr>
          <w:rStyle w:val="Strong"/>
          <w:rFonts w:cstheme="minorBidi"/>
          <w:b w:val="0"/>
          <w:bCs w:val="0"/>
        </w:rPr>
        <w:t xml:space="preserve">töötuse tõttu ei ole riigi </w:t>
      </w:r>
      <w:r w:rsidR="00297BF5">
        <w:rPr>
          <w:rStyle w:val="Strong"/>
          <w:rFonts w:cstheme="minorBidi"/>
          <w:b w:val="0"/>
          <w:bCs w:val="0"/>
        </w:rPr>
        <w:t xml:space="preserve">otsesed </w:t>
      </w:r>
      <w:r w:rsidRPr="00D17432">
        <w:rPr>
          <w:rStyle w:val="Strong"/>
          <w:rFonts w:cstheme="minorBidi"/>
          <w:b w:val="0"/>
          <w:bCs w:val="0"/>
        </w:rPr>
        <w:t>kriisikulud märkimisväärselt suurenenud.</w:t>
      </w:r>
      <w:r>
        <w:rPr>
          <w:rStyle w:val="Strong"/>
          <w:rFonts w:cstheme="minorBidi"/>
          <w:b w:val="0"/>
          <w:bCs w:val="0"/>
        </w:rPr>
        <w:t xml:space="preserve"> Samuti on valdav osa Eesti majandusekspert</w:t>
      </w:r>
      <w:r w:rsidR="00E079EA">
        <w:rPr>
          <w:rStyle w:val="Strong"/>
          <w:rFonts w:cstheme="minorBidi"/>
          <w:b w:val="0"/>
          <w:bCs w:val="0"/>
        </w:rPr>
        <w:t>e</w:t>
      </w:r>
      <w:r>
        <w:rPr>
          <w:rStyle w:val="Strong"/>
          <w:rFonts w:cstheme="minorBidi"/>
          <w:b w:val="0"/>
          <w:bCs w:val="0"/>
        </w:rPr>
        <w:t xml:space="preserve"> seisukohal, et inflatsiooni mõõtmisega on praegu probleeme, mistõttu võib reaalmajanduse seis olla parem, kui ametlik statistika näitab.</w:t>
      </w:r>
      <w:r w:rsidRPr="00D17432">
        <w:rPr>
          <w:rStyle w:val="Strong"/>
          <w:rFonts w:cstheme="minorBidi"/>
          <w:b w:val="0"/>
          <w:bCs w:val="0"/>
        </w:rPr>
        <w:t xml:space="preserve"> See</w:t>
      </w:r>
      <w:r>
        <w:rPr>
          <w:rStyle w:val="Strong"/>
          <w:rFonts w:cstheme="minorBidi"/>
          <w:b w:val="0"/>
          <w:bCs w:val="0"/>
        </w:rPr>
        <w:t>tõttu</w:t>
      </w:r>
      <w:r w:rsidRPr="00D17432">
        <w:rPr>
          <w:rStyle w:val="Strong"/>
          <w:rFonts w:cstheme="minorBidi"/>
          <w:b w:val="0"/>
          <w:bCs w:val="0"/>
        </w:rPr>
        <w:t xml:space="preserve"> võib reaalse SKP põhjal </w:t>
      </w:r>
      <w:r>
        <w:rPr>
          <w:rStyle w:val="Strong"/>
          <w:rFonts w:cstheme="minorBidi"/>
          <w:b w:val="0"/>
          <w:bCs w:val="0"/>
        </w:rPr>
        <w:t>arvutatav</w:t>
      </w:r>
      <w:r w:rsidRPr="00D17432">
        <w:rPr>
          <w:rStyle w:val="Strong"/>
          <w:rFonts w:cstheme="minorBidi"/>
          <w:b w:val="0"/>
          <w:bCs w:val="0"/>
        </w:rPr>
        <w:t xml:space="preserve"> toodangulõhe ebatäpselt hinnata majanduskriisi mõju eelarvepositsioonile.</w:t>
      </w:r>
    </w:p>
    <w:p w14:paraId="499DAFDF" w14:textId="654D7665" w:rsidR="00720548" w:rsidRDefault="003B7283" w:rsidP="003B7283">
      <w:pPr>
        <w:pStyle w:val="Phitekst"/>
        <w:rPr>
          <w:rStyle w:val="Strong"/>
          <w:rFonts w:cstheme="minorBidi"/>
          <w:b w:val="0"/>
          <w:bCs w:val="0"/>
        </w:rPr>
      </w:pPr>
      <w:r w:rsidRPr="00D17432">
        <w:rPr>
          <w:rStyle w:val="Strong"/>
          <w:rFonts w:cstheme="minorBidi"/>
          <w:b w:val="0"/>
          <w:bCs w:val="0"/>
        </w:rPr>
        <w:t>Teisalt on kehtestatud kaubanduspiirangute tõttu nõrgenenud osade ettevõtete konkurentsi</w:t>
      </w:r>
      <w:r w:rsidR="00297BF5">
        <w:rPr>
          <w:rStyle w:val="Strong"/>
          <w:rFonts w:cstheme="minorBidi"/>
          <w:b w:val="0"/>
          <w:bCs w:val="0"/>
        </w:rPr>
        <w:softHyphen/>
      </w:r>
      <w:r w:rsidRPr="00D17432">
        <w:rPr>
          <w:rStyle w:val="Strong"/>
          <w:rFonts w:cstheme="minorBidi"/>
          <w:b w:val="0"/>
          <w:bCs w:val="0"/>
        </w:rPr>
        <w:t>positsioon. Kaotatud on nii eksporditurge, kuid ka tarneahelad on katkenud. Ida poolt imporditud tootmissisendite asendamine on kaasa toonud sisendhindade hüppelise kasvu, mida ei ole alati olnud võimalik lõpphindadesse edasi suunata, mistõttu muutub osa tootmispotentsiaalist kasutuks.</w:t>
      </w:r>
    </w:p>
    <w:p w14:paraId="06FBC0FA" w14:textId="1F50F554" w:rsidR="003B7283" w:rsidRDefault="003B7283" w:rsidP="003B7283">
      <w:pPr>
        <w:pStyle w:val="Phitekst"/>
        <w:rPr>
          <w:rStyle w:val="Strong"/>
          <w:rFonts w:cstheme="minorBidi"/>
          <w:b w:val="0"/>
          <w:bCs w:val="0"/>
        </w:rPr>
      </w:pPr>
      <w:r w:rsidRPr="00D17432">
        <w:rPr>
          <w:rStyle w:val="Strong"/>
          <w:rFonts w:cstheme="minorBidi"/>
          <w:b w:val="0"/>
          <w:bCs w:val="0"/>
        </w:rPr>
        <w:t>Sellis</w:t>
      </w:r>
      <w:r>
        <w:rPr>
          <w:rStyle w:val="Strong"/>
          <w:rFonts w:cstheme="minorBidi"/>
          <w:b w:val="0"/>
          <w:bCs w:val="0"/>
        </w:rPr>
        <w:t>e</w:t>
      </w:r>
      <w:r w:rsidRPr="00D17432">
        <w:rPr>
          <w:rStyle w:val="Strong"/>
          <w:rFonts w:cstheme="minorBidi"/>
          <w:b w:val="0"/>
          <w:bCs w:val="0"/>
        </w:rPr>
        <w:t xml:space="preserve"> majanduse restruktureerimisega ei ole E</w:t>
      </w:r>
      <w:r>
        <w:rPr>
          <w:rStyle w:val="Strong"/>
          <w:rFonts w:cstheme="minorBidi"/>
          <w:b w:val="0"/>
          <w:bCs w:val="0"/>
        </w:rPr>
        <w:t xml:space="preserve">uroopa </w:t>
      </w:r>
      <w:r w:rsidRPr="00D17432">
        <w:rPr>
          <w:rStyle w:val="Strong"/>
          <w:rFonts w:cstheme="minorBidi"/>
          <w:b w:val="0"/>
          <w:bCs w:val="0"/>
        </w:rPr>
        <w:t>L</w:t>
      </w:r>
      <w:r>
        <w:rPr>
          <w:rStyle w:val="Strong"/>
          <w:rFonts w:cstheme="minorBidi"/>
          <w:b w:val="0"/>
          <w:bCs w:val="0"/>
        </w:rPr>
        <w:t>iidu</w:t>
      </w:r>
      <w:r w:rsidRPr="00D17432">
        <w:rPr>
          <w:rStyle w:val="Strong"/>
          <w:rFonts w:cstheme="minorBidi"/>
          <w:b w:val="0"/>
          <w:bCs w:val="0"/>
        </w:rPr>
        <w:t xml:space="preserve"> ühtses toodangulõhe hindamismetoodikas arvestatud, mistõttu valitseb risk, et ametlik numbriline hinnang </w:t>
      </w:r>
      <w:r>
        <w:rPr>
          <w:rStyle w:val="Strong"/>
          <w:rFonts w:cstheme="minorBidi"/>
          <w:b w:val="0"/>
          <w:bCs w:val="0"/>
        </w:rPr>
        <w:t xml:space="preserve">lähiaastateks </w:t>
      </w:r>
      <w:r w:rsidRPr="00D17432">
        <w:rPr>
          <w:rStyle w:val="Strong"/>
          <w:rFonts w:cstheme="minorBidi"/>
          <w:b w:val="0"/>
          <w:bCs w:val="0"/>
        </w:rPr>
        <w:t xml:space="preserve">ülehindab majanduse tsüklilist </w:t>
      </w:r>
      <w:r w:rsidRPr="00582AF5">
        <w:rPr>
          <w:rStyle w:val="Strong"/>
          <w:rFonts w:cstheme="minorBidi"/>
          <w:b w:val="0"/>
          <w:bCs w:val="0"/>
        </w:rPr>
        <w:t>nõrkust (vt</w:t>
      </w:r>
      <w:r w:rsidR="00582AF5" w:rsidRPr="00582AF5">
        <w:rPr>
          <w:rStyle w:val="Strong"/>
          <w:rFonts w:cstheme="minorBidi"/>
          <w:b w:val="0"/>
          <w:bCs w:val="0"/>
        </w:rPr>
        <w:t xml:space="preserve"> </w:t>
      </w:r>
      <w:r w:rsidR="00582AF5" w:rsidRPr="00582AF5">
        <w:rPr>
          <w:rStyle w:val="Strong"/>
          <w:rFonts w:cstheme="minorBidi"/>
          <w:b w:val="0"/>
          <w:bCs w:val="0"/>
        </w:rPr>
        <w:fldChar w:fldCharType="begin"/>
      </w:r>
      <w:r w:rsidR="00582AF5" w:rsidRPr="00582AF5">
        <w:rPr>
          <w:rStyle w:val="Strong"/>
          <w:rFonts w:cstheme="minorBidi"/>
          <w:b w:val="0"/>
          <w:bCs w:val="0"/>
        </w:rPr>
        <w:instrText xml:space="preserve"> REF _Ref143464884 \h </w:instrText>
      </w:r>
      <w:r w:rsidR="00582AF5">
        <w:rPr>
          <w:rStyle w:val="Strong"/>
          <w:rFonts w:cstheme="minorBidi"/>
          <w:b w:val="0"/>
          <w:bCs w:val="0"/>
        </w:rPr>
        <w:instrText xml:space="preserve"> \* MERGEFORMAT </w:instrText>
      </w:r>
      <w:r w:rsidR="00582AF5" w:rsidRPr="00582AF5">
        <w:rPr>
          <w:rStyle w:val="Strong"/>
          <w:rFonts w:cstheme="minorBidi"/>
          <w:b w:val="0"/>
          <w:bCs w:val="0"/>
        </w:rPr>
      </w:r>
      <w:r w:rsidR="00582AF5" w:rsidRPr="00582AF5">
        <w:rPr>
          <w:rStyle w:val="Strong"/>
          <w:rFonts w:cstheme="minorBidi"/>
          <w:b w:val="0"/>
          <w:bCs w:val="0"/>
        </w:rPr>
        <w:fldChar w:fldCharType="separate"/>
      </w:r>
      <w:r w:rsidR="00A377C1" w:rsidRPr="00D05A66">
        <w:t xml:space="preserve">Joonis </w:t>
      </w:r>
      <w:r w:rsidR="00A377C1">
        <w:rPr>
          <w:noProof/>
        </w:rPr>
        <w:t>9</w:t>
      </w:r>
      <w:r w:rsidR="00582AF5" w:rsidRPr="00582AF5">
        <w:rPr>
          <w:rStyle w:val="Strong"/>
          <w:rFonts w:cstheme="minorBidi"/>
          <w:b w:val="0"/>
          <w:bCs w:val="0"/>
        </w:rPr>
        <w:fldChar w:fldCharType="end"/>
      </w:r>
      <w:r w:rsidRPr="00582AF5">
        <w:rPr>
          <w:rStyle w:val="Strong"/>
          <w:rFonts w:cstheme="minorBidi"/>
          <w:b w:val="0"/>
          <w:bCs w:val="0"/>
        </w:rPr>
        <w:fldChar w:fldCharType="begin"/>
      </w:r>
      <w:r w:rsidRPr="00582AF5">
        <w:rPr>
          <w:rStyle w:val="Strong"/>
          <w:rFonts w:cstheme="minorBidi"/>
          <w:b w:val="0"/>
          <w:bCs w:val="0"/>
        </w:rPr>
        <w:instrText xml:space="preserve"> REF _Ref131542888 \h </w:instrText>
      </w:r>
      <w:r w:rsidR="00720548" w:rsidRPr="00582AF5">
        <w:rPr>
          <w:rStyle w:val="Strong"/>
          <w:rFonts w:cstheme="minorBidi"/>
          <w:b w:val="0"/>
          <w:bCs w:val="0"/>
        </w:rPr>
        <w:instrText xml:space="preserve"> \* MERGEFORMAT </w:instrText>
      </w:r>
      <w:r w:rsidRPr="00582AF5">
        <w:rPr>
          <w:rStyle w:val="Strong"/>
          <w:rFonts w:cstheme="minorBidi"/>
          <w:b w:val="0"/>
          <w:bCs w:val="0"/>
        </w:rPr>
      </w:r>
      <w:r w:rsidR="0028401A">
        <w:rPr>
          <w:rStyle w:val="Strong"/>
          <w:rFonts w:cstheme="minorBidi"/>
          <w:b w:val="0"/>
          <w:bCs w:val="0"/>
        </w:rPr>
        <w:fldChar w:fldCharType="separate"/>
      </w:r>
      <w:r w:rsidRPr="00582AF5">
        <w:rPr>
          <w:rStyle w:val="Strong"/>
          <w:rFonts w:cstheme="minorBidi"/>
          <w:b w:val="0"/>
          <w:bCs w:val="0"/>
        </w:rPr>
        <w:fldChar w:fldCharType="end"/>
      </w:r>
      <w:r w:rsidRPr="00582AF5">
        <w:rPr>
          <w:rStyle w:val="Strong"/>
          <w:rFonts w:cstheme="minorBidi"/>
          <w:b w:val="0"/>
          <w:bCs w:val="0"/>
        </w:rPr>
        <w:t>).</w:t>
      </w:r>
      <w:r>
        <w:rPr>
          <w:rStyle w:val="Strong"/>
          <w:rFonts w:cstheme="minorBidi"/>
          <w:b w:val="0"/>
          <w:bCs w:val="0"/>
        </w:rPr>
        <w:t xml:space="preserve"> </w:t>
      </w:r>
      <w:r w:rsidR="005C1521" w:rsidRPr="00D17432">
        <w:rPr>
          <w:rStyle w:val="Strong"/>
          <w:rFonts w:cstheme="minorBidi"/>
          <w:b w:val="0"/>
          <w:bCs w:val="0"/>
        </w:rPr>
        <w:t xml:space="preserve">Samuti näitab </w:t>
      </w:r>
      <w:r w:rsidR="005C1521">
        <w:rPr>
          <w:rStyle w:val="Strong"/>
          <w:rFonts w:cstheme="minorBidi"/>
          <w:b w:val="0"/>
          <w:bCs w:val="0"/>
        </w:rPr>
        <w:t xml:space="preserve">suhteliselt </w:t>
      </w:r>
      <w:r w:rsidR="005C1521" w:rsidRPr="00D17432">
        <w:rPr>
          <w:rStyle w:val="Strong"/>
          <w:rFonts w:cstheme="minorBidi"/>
          <w:b w:val="0"/>
          <w:bCs w:val="0"/>
        </w:rPr>
        <w:t>madal tööpuuduse tase, et tööturu seis ei ole ülemäära halb</w:t>
      </w:r>
      <w:r w:rsidR="005C1521">
        <w:rPr>
          <w:rStyle w:val="Strong"/>
          <w:rFonts w:cstheme="minorBidi"/>
          <w:b w:val="0"/>
          <w:bCs w:val="0"/>
        </w:rPr>
        <w:t xml:space="preserve"> ning tööpuudus ei kasva praeguse kriisi kontekstis märkimisväärselt üle oma normaaltaseme (vt </w:t>
      </w:r>
      <w:r w:rsidR="005C1521">
        <w:rPr>
          <w:rStyle w:val="Strong"/>
          <w:rFonts w:cstheme="minorBidi"/>
          <w:b w:val="0"/>
          <w:bCs w:val="0"/>
        </w:rPr>
        <w:fldChar w:fldCharType="begin"/>
      </w:r>
      <w:r w:rsidR="005C1521">
        <w:rPr>
          <w:rStyle w:val="Strong"/>
          <w:rFonts w:cstheme="minorBidi"/>
          <w:b w:val="0"/>
          <w:bCs w:val="0"/>
        </w:rPr>
        <w:instrText xml:space="preserve"> REF _Ref143715757 \h </w:instrText>
      </w:r>
      <w:r w:rsidR="005C1521">
        <w:rPr>
          <w:rStyle w:val="Strong"/>
          <w:rFonts w:cstheme="minorBidi"/>
          <w:b w:val="0"/>
          <w:bCs w:val="0"/>
        </w:rPr>
      </w:r>
      <w:r w:rsidR="005C1521">
        <w:rPr>
          <w:rStyle w:val="Strong"/>
          <w:rFonts w:cstheme="minorBidi"/>
          <w:b w:val="0"/>
          <w:bCs w:val="0"/>
        </w:rPr>
        <w:fldChar w:fldCharType="separate"/>
      </w:r>
      <w:r w:rsidR="00A377C1">
        <w:t xml:space="preserve">Joonis </w:t>
      </w:r>
      <w:r w:rsidR="00A377C1">
        <w:rPr>
          <w:noProof/>
        </w:rPr>
        <w:t>10</w:t>
      </w:r>
      <w:r w:rsidR="005C1521">
        <w:rPr>
          <w:rStyle w:val="Strong"/>
          <w:rFonts w:cstheme="minorBidi"/>
          <w:b w:val="0"/>
          <w:bCs w:val="0"/>
        </w:rPr>
        <w:fldChar w:fldCharType="end"/>
      </w:r>
      <w:r w:rsidR="005C1521">
        <w:rPr>
          <w:rStyle w:val="Strong"/>
          <w:rFonts w:cstheme="minorBidi"/>
          <w:b w:val="0"/>
          <w:bCs w:val="0"/>
        </w:rPr>
        <w:t xml:space="preserve">). </w:t>
      </w:r>
      <w:r>
        <w:rPr>
          <w:rStyle w:val="Strong"/>
          <w:rFonts w:cstheme="minorBidi"/>
          <w:b w:val="0"/>
          <w:bCs w:val="0"/>
        </w:rPr>
        <w:t>See tähendab</w:t>
      </w:r>
      <w:r w:rsidR="005C1521">
        <w:rPr>
          <w:rStyle w:val="Strong"/>
          <w:rFonts w:cstheme="minorBidi"/>
          <w:b w:val="0"/>
          <w:bCs w:val="0"/>
        </w:rPr>
        <w:t xml:space="preserve"> kokkuvõttes</w:t>
      </w:r>
      <w:r>
        <w:rPr>
          <w:rStyle w:val="Strong"/>
          <w:rFonts w:cstheme="minorBidi"/>
          <w:b w:val="0"/>
          <w:bCs w:val="0"/>
        </w:rPr>
        <w:t>, et struktuurse eelarve</w:t>
      </w:r>
      <w:r>
        <w:rPr>
          <w:rStyle w:val="Strong"/>
          <w:rFonts w:cstheme="minorBidi"/>
          <w:b w:val="0"/>
          <w:bCs w:val="0"/>
        </w:rPr>
        <w:softHyphen/>
        <w:t>positsiooni hinnang käesolevaks aastaks võib olla üle hinnatud ehk näitab eelarve seisu liiga positiivsena</w:t>
      </w:r>
      <w:r w:rsidRPr="00D17432">
        <w:rPr>
          <w:rStyle w:val="Strong"/>
          <w:rFonts w:cstheme="minorBidi"/>
          <w:b w:val="0"/>
          <w:bCs w:val="0"/>
        </w:rPr>
        <w:t>.</w:t>
      </w:r>
    </w:p>
    <w:p w14:paraId="0326F52A" w14:textId="40D2B0CC" w:rsidR="003B7283" w:rsidRPr="00D05A66" w:rsidRDefault="003B7283" w:rsidP="003B7283">
      <w:pPr>
        <w:pStyle w:val="Caption"/>
        <w:rPr>
          <w:rStyle w:val="Strong"/>
          <w:rFonts w:cstheme="minorBidi"/>
          <w:b/>
          <w:bCs w:val="0"/>
        </w:rPr>
      </w:pPr>
      <w:bookmarkStart w:id="55" w:name="_Ref143464884"/>
      <w:bookmarkStart w:id="56" w:name="_Toc143775524"/>
      <w:r w:rsidRPr="00D05A66">
        <w:t xml:space="preserve">Joonis </w:t>
      </w:r>
      <w:r w:rsidR="004C0EAE">
        <w:fldChar w:fldCharType="begin"/>
      </w:r>
      <w:r w:rsidR="004C0EAE">
        <w:instrText xml:space="preserve"> SEQ Joonis \* ARABIC </w:instrText>
      </w:r>
      <w:r w:rsidR="004C0EAE">
        <w:fldChar w:fldCharType="separate"/>
      </w:r>
      <w:r w:rsidR="00C5527F">
        <w:rPr>
          <w:noProof/>
        </w:rPr>
        <w:t>9</w:t>
      </w:r>
      <w:r w:rsidR="004C0EAE">
        <w:rPr>
          <w:noProof/>
        </w:rPr>
        <w:fldChar w:fldCharType="end"/>
      </w:r>
      <w:bookmarkEnd w:id="55"/>
      <w:r w:rsidRPr="00D05A66">
        <w:t>. Kasvupotentsiaal (%) ja majandustsükkel (%</w:t>
      </w:r>
      <w:r w:rsidR="00297BF5">
        <w:t> </w:t>
      </w:r>
      <w:r w:rsidRPr="00D05A66">
        <w:t>SKPst)</w:t>
      </w:r>
      <w:bookmarkEnd w:id="56"/>
    </w:p>
    <w:p w14:paraId="08980488" w14:textId="5B9BB1F5" w:rsidR="003B7283" w:rsidRPr="00D17432" w:rsidRDefault="00297BF5" w:rsidP="003B7283">
      <w:pPr>
        <w:pStyle w:val="Phitekst"/>
        <w:rPr>
          <w:rStyle w:val="Strong"/>
          <w:rFonts w:cstheme="minorBidi"/>
          <w:b w:val="0"/>
          <w:bCs w:val="0"/>
        </w:rPr>
      </w:pPr>
      <w:r>
        <w:rPr>
          <w:noProof/>
          <w14:ligatures w14:val="none"/>
        </w:rPr>
        <w:drawing>
          <wp:inline distT="0" distB="0" distL="0" distR="0" wp14:anchorId="7F06E2EF" wp14:editId="147F2496">
            <wp:extent cx="2933411" cy="1877753"/>
            <wp:effectExtent l="0" t="0" r="0" b="0"/>
            <wp:docPr id="1507801682" name="Chart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4949509" w14:textId="6EC1A031" w:rsidR="005C1521" w:rsidRDefault="005C1521" w:rsidP="005C1521">
      <w:pPr>
        <w:pStyle w:val="Caption"/>
      </w:pPr>
      <w:bookmarkStart w:id="57" w:name="_Ref143715757"/>
      <w:bookmarkStart w:id="58" w:name="_Toc143775525"/>
      <w:r>
        <w:t xml:space="preserve">Joonis </w:t>
      </w:r>
      <w:r w:rsidR="004C0EAE">
        <w:fldChar w:fldCharType="begin"/>
      </w:r>
      <w:r w:rsidR="004C0EAE">
        <w:instrText xml:space="preserve"> SEQ Joonis \* ARABIC </w:instrText>
      </w:r>
      <w:r w:rsidR="004C0EAE">
        <w:fldChar w:fldCharType="separate"/>
      </w:r>
      <w:r w:rsidR="00C5527F">
        <w:rPr>
          <w:noProof/>
        </w:rPr>
        <w:t>10</w:t>
      </w:r>
      <w:r w:rsidR="004C0EAE">
        <w:rPr>
          <w:noProof/>
        </w:rPr>
        <w:fldChar w:fldCharType="end"/>
      </w:r>
      <w:bookmarkEnd w:id="57"/>
      <w:r>
        <w:t>. Tegelik ja loomulik töötus (NAWRU), %</w:t>
      </w:r>
      <w:bookmarkEnd w:id="58"/>
    </w:p>
    <w:p w14:paraId="3B75F1DF" w14:textId="69CE23F6" w:rsidR="005C1521" w:rsidRDefault="005C1521" w:rsidP="00050ACF">
      <w:pPr>
        <w:pStyle w:val="Phitekst"/>
        <w:rPr>
          <w:rStyle w:val="Strong"/>
        </w:rPr>
      </w:pPr>
      <w:r>
        <w:rPr>
          <w:noProof/>
          <w14:ligatures w14:val="none"/>
        </w:rPr>
        <w:drawing>
          <wp:inline distT="0" distB="0" distL="0" distR="0" wp14:anchorId="24467674" wp14:editId="03E2F82E">
            <wp:extent cx="2943225" cy="1878965"/>
            <wp:effectExtent l="0" t="0" r="0" b="0"/>
            <wp:docPr id="1676361703" name="Chart 1">
              <a:extLst xmlns:a="http://schemas.openxmlformats.org/drawingml/2006/main">
                <a:ext uri="{FF2B5EF4-FFF2-40B4-BE49-F238E27FC236}">
                  <a16:creationId xmlns:a16="http://schemas.microsoft.com/office/drawing/2014/main" id="{0CD4CDEC-B887-47D1-92B5-9DC9971EA9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28B3EA4" w14:textId="14C90ECC" w:rsidR="00D05A66" w:rsidRDefault="003B7283" w:rsidP="00832933">
      <w:pPr>
        <w:pStyle w:val="Phitekst"/>
        <w:rPr>
          <w:rStyle w:val="Strong"/>
          <w:rFonts w:cstheme="minorBidi"/>
          <w:b w:val="0"/>
          <w:bCs w:val="0"/>
          <w:highlight w:val="yellow"/>
        </w:rPr>
      </w:pPr>
      <w:r w:rsidRPr="00297BF5">
        <w:rPr>
          <w:rStyle w:val="Strong"/>
        </w:rPr>
        <w:t>Alternatiivse hinnangu majanduse tsüklilisele seisule annab majanduse ilmakaart</w:t>
      </w:r>
      <w:r w:rsidR="00050ACF">
        <w:rPr>
          <w:rStyle w:val="Strong"/>
        </w:rPr>
        <w:t>, mis näitab majanduse olukorda positiivsemana</w:t>
      </w:r>
      <w:r w:rsidR="00297BF5">
        <w:rPr>
          <w:rStyle w:val="Strong"/>
        </w:rPr>
        <w:t>.</w:t>
      </w:r>
      <w:r w:rsidR="00297BF5">
        <w:rPr>
          <w:rStyle w:val="EndnoteReference"/>
        </w:rPr>
        <w:endnoteReference w:id="2"/>
      </w:r>
      <w:r w:rsidRPr="00D17432">
        <w:rPr>
          <w:rStyle w:val="Strong"/>
          <w:rFonts w:cstheme="minorBidi"/>
          <w:b w:val="0"/>
          <w:bCs w:val="0"/>
        </w:rPr>
        <w:t xml:space="preserve"> </w:t>
      </w:r>
      <w:r w:rsidR="00720548" w:rsidRPr="00720548">
        <w:rPr>
          <w:rStyle w:val="Strong"/>
          <w:rFonts w:cstheme="minorBidi"/>
          <w:b w:val="0"/>
          <w:bCs w:val="0"/>
        </w:rPr>
        <w:t>Rahandusministeeriumi Eesti majanduse ilmakaardi enamik näitajaid on 2023. aastal jahenenud 2022. aastaga võrreldes (vt</w:t>
      </w:r>
      <w:r w:rsidR="00582AF5">
        <w:rPr>
          <w:rStyle w:val="Strong"/>
          <w:rFonts w:cstheme="minorBidi"/>
          <w:b w:val="0"/>
          <w:bCs w:val="0"/>
        </w:rPr>
        <w:t xml:space="preserve"> </w:t>
      </w:r>
      <w:r w:rsidR="00582AF5">
        <w:rPr>
          <w:rStyle w:val="Strong"/>
          <w:rFonts w:cstheme="minorBidi"/>
          <w:b w:val="0"/>
          <w:bCs w:val="0"/>
        </w:rPr>
        <w:fldChar w:fldCharType="begin"/>
      </w:r>
      <w:r w:rsidR="00582AF5">
        <w:rPr>
          <w:rStyle w:val="Strong"/>
          <w:rFonts w:cstheme="minorBidi"/>
          <w:b w:val="0"/>
          <w:bCs w:val="0"/>
        </w:rPr>
        <w:instrText xml:space="preserve"> REF _Ref143464844 \h </w:instrText>
      </w:r>
      <w:r w:rsidR="00582AF5">
        <w:rPr>
          <w:rStyle w:val="Strong"/>
          <w:rFonts w:cstheme="minorBidi"/>
          <w:b w:val="0"/>
          <w:bCs w:val="0"/>
        </w:rPr>
      </w:r>
      <w:r w:rsidR="00582AF5">
        <w:rPr>
          <w:rStyle w:val="Strong"/>
          <w:rFonts w:cstheme="minorBidi"/>
          <w:b w:val="0"/>
          <w:bCs w:val="0"/>
        </w:rPr>
        <w:fldChar w:fldCharType="separate"/>
      </w:r>
      <w:r w:rsidR="00A377C1" w:rsidRPr="00C121AD">
        <w:t xml:space="preserve">Joonis </w:t>
      </w:r>
      <w:r w:rsidR="00A377C1">
        <w:rPr>
          <w:noProof/>
        </w:rPr>
        <w:t>11</w:t>
      </w:r>
      <w:r w:rsidR="00582AF5">
        <w:rPr>
          <w:rStyle w:val="Strong"/>
          <w:rFonts w:cstheme="minorBidi"/>
          <w:b w:val="0"/>
          <w:bCs w:val="0"/>
        </w:rPr>
        <w:fldChar w:fldCharType="end"/>
      </w:r>
      <w:r w:rsidR="00720548" w:rsidRPr="00720548">
        <w:rPr>
          <w:rStyle w:val="Strong"/>
          <w:rFonts w:cstheme="minorBidi"/>
          <w:b w:val="0"/>
          <w:bCs w:val="0"/>
        </w:rPr>
        <w:t>). Tugevalt allpool oma tavapärast taset on tarbijate ja tööstussektori kindlustunne. Veidi allpool oma tavapärast taset on ehitusmahud. Hinnaindikaatorid viitavad küll veel ülekuumenemisele, kuid temperatuur on 2022. aastaga teise poolega võrreldes veidi alanenud.</w:t>
      </w:r>
    </w:p>
    <w:p w14:paraId="2D6E703A" w14:textId="77777777" w:rsidR="00D05A66" w:rsidRDefault="00D05A66" w:rsidP="00832933">
      <w:pPr>
        <w:pStyle w:val="Phitekst"/>
        <w:rPr>
          <w:rStyle w:val="Strong"/>
          <w:rFonts w:cstheme="minorBidi"/>
          <w:b w:val="0"/>
          <w:bCs w:val="0"/>
          <w:highlight w:val="yellow"/>
        </w:rPr>
        <w:sectPr w:rsidR="00D05A66" w:rsidSect="00832933">
          <w:endnotePr>
            <w:numFmt w:val="decimal"/>
          </w:endnotePr>
          <w:type w:val="continuous"/>
          <w:pgSz w:w="11906" w:h="16838"/>
          <w:pgMar w:top="964" w:right="964" w:bottom="964" w:left="964" w:header="709" w:footer="709" w:gutter="0"/>
          <w:cols w:num="2" w:space="708"/>
          <w:docGrid w:linePitch="360"/>
        </w:sectPr>
      </w:pPr>
    </w:p>
    <w:p w14:paraId="2B9926B3" w14:textId="77777777" w:rsidR="00D05A66" w:rsidRDefault="00D05A66" w:rsidP="00832933">
      <w:pPr>
        <w:pStyle w:val="Phitekst"/>
        <w:rPr>
          <w:rStyle w:val="Strong"/>
          <w:rFonts w:cstheme="minorBidi"/>
          <w:b w:val="0"/>
          <w:bCs w:val="0"/>
          <w:highlight w:val="yellow"/>
        </w:rPr>
      </w:pPr>
    </w:p>
    <w:p w14:paraId="00D43AB0" w14:textId="77777777" w:rsidR="00D05A66" w:rsidRDefault="00D05A66" w:rsidP="005F1993">
      <w:pPr>
        <w:pStyle w:val="Caption"/>
        <w:sectPr w:rsidR="00D05A66" w:rsidSect="00832933">
          <w:endnotePr>
            <w:numFmt w:val="decimal"/>
          </w:endnotePr>
          <w:type w:val="continuous"/>
          <w:pgSz w:w="11906" w:h="16838"/>
          <w:pgMar w:top="964" w:right="964" w:bottom="964" w:left="964" w:header="709" w:footer="709" w:gutter="0"/>
          <w:cols w:num="2" w:space="708"/>
          <w:docGrid w:linePitch="360"/>
        </w:sectPr>
      </w:pPr>
    </w:p>
    <w:p w14:paraId="0E08D5B0" w14:textId="574AB77B" w:rsidR="005F1993" w:rsidRPr="00C121AD" w:rsidRDefault="005F1993" w:rsidP="005F1993">
      <w:pPr>
        <w:pStyle w:val="Caption"/>
        <w:rPr>
          <w:rStyle w:val="Strong"/>
          <w:rFonts w:cstheme="minorBidi"/>
          <w:b/>
          <w:bCs w:val="0"/>
        </w:rPr>
      </w:pPr>
      <w:bookmarkStart w:id="59" w:name="_Ref143464844"/>
      <w:bookmarkStart w:id="60" w:name="_Toc143775526"/>
      <w:r w:rsidRPr="00C121AD">
        <w:lastRenderedPageBreak/>
        <w:t xml:space="preserve">Joonis </w:t>
      </w:r>
      <w:r w:rsidR="004C0EAE">
        <w:fldChar w:fldCharType="begin"/>
      </w:r>
      <w:r w:rsidR="004C0EAE">
        <w:instrText xml:space="preserve"> SEQ Joonis \* ARABIC </w:instrText>
      </w:r>
      <w:r w:rsidR="004C0EAE">
        <w:fldChar w:fldCharType="separate"/>
      </w:r>
      <w:r w:rsidR="00D84B51">
        <w:rPr>
          <w:noProof/>
        </w:rPr>
        <w:t>11</w:t>
      </w:r>
      <w:r w:rsidR="004C0EAE">
        <w:rPr>
          <w:noProof/>
        </w:rPr>
        <w:fldChar w:fldCharType="end"/>
      </w:r>
      <w:bookmarkEnd w:id="59"/>
      <w:r w:rsidRPr="00C121AD">
        <w:t>. Eesti majanduse ilmakaart</w:t>
      </w:r>
      <w:bookmarkEnd w:id="60"/>
    </w:p>
    <w:p w14:paraId="3AE091B7" w14:textId="3577C794" w:rsidR="005F1993" w:rsidRPr="00C121AD" w:rsidRDefault="00156F51" w:rsidP="00832933">
      <w:pPr>
        <w:pStyle w:val="Phitekst"/>
        <w:rPr>
          <w:rStyle w:val="Strong"/>
          <w:rFonts w:cstheme="minorBidi"/>
          <w:b w:val="0"/>
          <w:bCs w:val="0"/>
        </w:rPr>
      </w:pPr>
      <w:r w:rsidRPr="00C121AD">
        <w:rPr>
          <w:rStyle w:val="Strong"/>
          <w:rFonts w:cstheme="minorBidi"/>
          <w:b w:val="0"/>
          <w:bCs w:val="0"/>
          <w:noProof/>
        </w:rPr>
        <w:drawing>
          <wp:inline distT="0" distB="0" distL="0" distR="0" wp14:anchorId="154FDDD5" wp14:editId="40094BD4">
            <wp:extent cx="6408287" cy="2000250"/>
            <wp:effectExtent l="0" t="0" r="0" b="0"/>
            <wp:docPr id="1606542883"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11814" cy="2001351"/>
                    </a:xfrm>
                    <a:prstGeom prst="rect">
                      <a:avLst/>
                    </a:prstGeom>
                    <a:noFill/>
                  </pic:spPr>
                </pic:pic>
              </a:graphicData>
            </a:graphic>
          </wp:inline>
        </w:drawing>
      </w:r>
    </w:p>
    <w:p w14:paraId="7FF0AFDB" w14:textId="4F976A15" w:rsidR="00156F51" w:rsidRPr="00C121AD" w:rsidRDefault="00156F51" w:rsidP="00156F51">
      <w:pPr>
        <w:pStyle w:val="Phitekst"/>
      </w:pPr>
      <w:r w:rsidRPr="00C121AD">
        <w:rPr>
          <w:rStyle w:val="Strong"/>
          <w:rFonts w:cstheme="minorBidi"/>
          <w:b w:val="0"/>
          <w:bCs w:val="0"/>
          <w:noProof/>
        </w:rPr>
        <w:drawing>
          <wp:inline distT="0" distB="0" distL="0" distR="0" wp14:anchorId="2FF8AC5A" wp14:editId="670327FB">
            <wp:extent cx="3030488" cy="520700"/>
            <wp:effectExtent l="0" t="0" r="0" b="0"/>
            <wp:docPr id="2125316485"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31468" cy="520868"/>
                    </a:xfrm>
                    <a:prstGeom prst="rect">
                      <a:avLst/>
                    </a:prstGeom>
                    <a:noFill/>
                  </pic:spPr>
                </pic:pic>
              </a:graphicData>
            </a:graphic>
          </wp:inline>
        </w:drawing>
      </w:r>
    </w:p>
    <w:p w14:paraId="332D41AB" w14:textId="30B08BD1" w:rsidR="005F1993" w:rsidRPr="0009652D" w:rsidRDefault="005F1993" w:rsidP="00B56E1F">
      <w:pPr>
        <w:pStyle w:val="Mrkus"/>
      </w:pPr>
      <w:r w:rsidRPr="0009652D">
        <w:t>Märkused: Andmete puudumine on tähistatud halliga. Kapitali kogumahutust põhivarasse on käesoleva analüüsi jaoks korrigeeritud, et välja arvata hinnanguline ühekordse suure tehingu mõju aastatel 2020–2021. Jooksevkonto saldot on käesoleva analüüsi jaoks korrigeeritud, et välja arvata hinnanguline ühekordse suure tehingu mõju aastatel 2020–2021.</w:t>
      </w:r>
    </w:p>
    <w:p w14:paraId="6A3D1875" w14:textId="77777777" w:rsidR="005F1993" w:rsidRPr="0009652D" w:rsidRDefault="005F1993" w:rsidP="00B56E1F">
      <w:pPr>
        <w:pStyle w:val="Mrkus"/>
      </w:pPr>
      <w:r w:rsidRPr="0009652D">
        <w:t xml:space="preserve">Allikas: Rahandusministeeriumi arvutused ja koostatud; andmete allikad Eesti Pank, Euroopa Komisjon, </w:t>
      </w:r>
      <w:proofErr w:type="spellStart"/>
      <w:r w:rsidRPr="0009652D">
        <w:t>Eurostat</w:t>
      </w:r>
      <w:proofErr w:type="spellEnd"/>
      <w:r w:rsidRPr="0009652D">
        <w:t>, maa-amet (tehingute andmebaas), statistikaamet.</w:t>
      </w:r>
    </w:p>
    <w:p w14:paraId="68DC2EB4" w14:textId="77777777" w:rsidR="00D05A66" w:rsidRDefault="00D05A66" w:rsidP="00832933">
      <w:pPr>
        <w:pStyle w:val="Phitekst"/>
        <w:rPr>
          <w:rStyle w:val="Strong"/>
          <w:rFonts w:cstheme="minorBidi"/>
          <w:b w:val="0"/>
          <w:bCs w:val="0"/>
          <w:highlight w:val="yellow"/>
        </w:rPr>
        <w:sectPr w:rsidR="00D05A66" w:rsidSect="00D05A66">
          <w:endnotePr>
            <w:numFmt w:val="decimal"/>
          </w:endnotePr>
          <w:type w:val="continuous"/>
          <w:pgSz w:w="11906" w:h="16838"/>
          <w:pgMar w:top="964" w:right="964" w:bottom="964" w:left="964" w:header="709" w:footer="709" w:gutter="0"/>
          <w:cols w:space="708"/>
          <w:docGrid w:linePitch="360"/>
        </w:sectPr>
      </w:pPr>
    </w:p>
    <w:p w14:paraId="43945668" w14:textId="77777777" w:rsidR="000F05E3" w:rsidRPr="00414819" w:rsidRDefault="000F05E3" w:rsidP="000F05E3">
      <w:pPr>
        <w:rPr>
          <w:highlight w:val="yellow"/>
        </w:rPr>
      </w:pPr>
    </w:p>
    <w:p w14:paraId="76686EF6" w14:textId="73CABBD2" w:rsidR="000F05E3" w:rsidRPr="00414819" w:rsidRDefault="000F05E3" w:rsidP="000F05E3">
      <w:pPr>
        <w:rPr>
          <w:highlight w:val="yellow"/>
        </w:rPr>
        <w:sectPr w:rsidR="000F05E3" w:rsidRPr="00414819" w:rsidSect="006E6E85">
          <w:endnotePr>
            <w:numFmt w:val="decimal"/>
          </w:endnotePr>
          <w:type w:val="continuous"/>
          <w:pgSz w:w="11906" w:h="16838"/>
          <w:pgMar w:top="964" w:right="964" w:bottom="964" w:left="964" w:header="709" w:footer="709" w:gutter="0"/>
          <w:cols w:space="708"/>
          <w:docGrid w:linePitch="360"/>
        </w:sectPr>
      </w:pPr>
    </w:p>
    <w:p w14:paraId="03B04EBE" w14:textId="10A724F8" w:rsidR="00037170" w:rsidRPr="00BF5ABF" w:rsidRDefault="00473A70" w:rsidP="00E66452">
      <w:pPr>
        <w:pStyle w:val="Heading1"/>
      </w:pPr>
      <w:bookmarkStart w:id="61" w:name="_Toc143775500"/>
      <w:r w:rsidRPr="00BF5ABF">
        <w:lastRenderedPageBreak/>
        <w:t>RAHANDUSPROGNOOS</w:t>
      </w:r>
      <w:bookmarkEnd w:id="51"/>
      <w:bookmarkEnd w:id="52"/>
      <w:bookmarkEnd w:id="53"/>
      <w:bookmarkEnd w:id="61"/>
    </w:p>
    <w:p w14:paraId="55E322FC" w14:textId="3C148AC0" w:rsidR="00CF74C1" w:rsidRPr="00BF5ABF" w:rsidRDefault="00CF74C1" w:rsidP="00E66452">
      <w:pPr>
        <w:pStyle w:val="Heading2"/>
      </w:pPr>
      <w:bookmarkStart w:id="62" w:name="_Toc64504550"/>
      <w:bookmarkStart w:id="63" w:name="_Toc511130601"/>
      <w:bookmarkStart w:id="64" w:name="_Toc18917260"/>
      <w:bookmarkStart w:id="65" w:name="_Toc62631829"/>
      <w:bookmarkStart w:id="66" w:name="_Toc143775501"/>
      <w:r w:rsidRPr="00BF5ABF">
        <w:t>VALITSUSSEKTORI EELARVEPOSITSIOON</w:t>
      </w:r>
      <w:bookmarkEnd w:id="62"/>
      <w:bookmarkEnd w:id="66"/>
    </w:p>
    <w:p w14:paraId="1CC6957A" w14:textId="77777777" w:rsidR="009B57A3" w:rsidRPr="00050ACF" w:rsidRDefault="009B57A3" w:rsidP="009B57A3">
      <w:pPr>
        <w:pStyle w:val="Alapunkt"/>
        <w:rPr>
          <w:b/>
        </w:rPr>
        <w:sectPr w:rsidR="009B57A3" w:rsidRPr="00050ACF" w:rsidSect="00B7291B">
          <w:endnotePr>
            <w:numFmt w:val="decimal"/>
          </w:endnotePr>
          <w:pgSz w:w="11906" w:h="16838"/>
          <w:pgMar w:top="964" w:right="964" w:bottom="964" w:left="964" w:header="709" w:footer="709" w:gutter="0"/>
          <w:cols w:space="708"/>
          <w:docGrid w:linePitch="360"/>
        </w:sectPr>
      </w:pPr>
      <w:bookmarkStart w:id="67" w:name="_Toc18917262"/>
      <w:bookmarkStart w:id="68" w:name="_Toc62631831"/>
      <w:bookmarkStart w:id="69" w:name="_Toc64504553"/>
      <w:bookmarkEnd w:id="63"/>
      <w:bookmarkEnd w:id="64"/>
      <w:bookmarkEnd w:id="65"/>
      <w:r w:rsidRPr="00050ACF">
        <w:t>Nominaalne eelarvepuudujääk väheneb eelmise prognoosiga võrreldes sel aastal tugeva maksulaekumise ja madalamate kulude ning järgmisel aastal koalitsioonileppe otsuste mõjul. 2025. aastast süveneb puudujääk maksumuudatuste tõttu ning võlakoormus kasvab kiiresti.</w:t>
      </w:r>
    </w:p>
    <w:p w14:paraId="63F2499A" w14:textId="77777777" w:rsidR="00257307" w:rsidRDefault="00257307" w:rsidP="00257307">
      <w:pPr>
        <w:pStyle w:val="Phitekst"/>
      </w:pPr>
      <w:r w:rsidRPr="00E90529">
        <w:rPr>
          <w:rStyle w:val="Strong"/>
        </w:rPr>
        <w:t>2020. aastal puhkenud Covid-19 pandeemia tõttu 1,5 miljardi euro suurusesse puudujääki langenud valitsussektori eelarvepositsioon paranes majanduse kiire taastumise tulemusel 335 miljoni euros suuruse puudujäägini 2022. aasta lõpuks.</w:t>
      </w:r>
      <w:r>
        <w:t xml:space="preserve"> Enim paranes </w:t>
      </w:r>
      <w:r w:rsidRPr="00771C8C">
        <w:t>sotsiaalkindlustusfondide positsioon, mis jõudis 157 miljoniga ülejääki tänu tugevale maksulaekumisele, mis kasvatas nii Tervisekassa kui ka Töötukassa reserve. Keskvalitsus</w:t>
      </w:r>
      <w:r>
        <w:t xml:space="preserve"> ja kohalikud omavalitsused lõpetasid aasta puudujäägiga, kuid see jäi siiski aasta varasemast väiksemaks.  Puudujääki vähendas nii hea maksulaekumine kui ka lisaeelarves planeeritust väiksemaks osutunud kulud.</w:t>
      </w:r>
    </w:p>
    <w:p w14:paraId="13986313" w14:textId="017CE89A" w:rsidR="009B57A3" w:rsidRDefault="009B57A3" w:rsidP="009B57A3">
      <w:pPr>
        <w:pStyle w:val="Phitekst"/>
      </w:pPr>
      <w:r w:rsidRPr="00050ACF">
        <w:rPr>
          <w:rStyle w:val="Strong"/>
        </w:rPr>
        <w:t>Käesoleva aasta eelarvepuudujäägiks kujuneb 1,28</w:t>
      </w:r>
      <w:r w:rsidR="008B0EAE">
        <w:rPr>
          <w:rStyle w:val="Strong"/>
        </w:rPr>
        <w:t> </w:t>
      </w:r>
      <w:r w:rsidRPr="00050ACF">
        <w:rPr>
          <w:rStyle w:val="Strong"/>
        </w:rPr>
        <w:t>miljardit eurot ehk 3,3% SKPst.</w:t>
      </w:r>
      <w:r w:rsidRPr="00050ACF">
        <w:t xml:space="preserve"> Puudujäägi süvenemist eelmise aastaga võrreldes mõjutavad 2023. aasta riigieelarves langetatud otsused, millega mh suurendati peretoetusi, suunati täiendavaid vahendeid riigikaitsesse ja haridussüsteemi ning tõsteti tulumaksuvaba miinimumi. Kevadprognoosiga võrreldes käesoleva aasta puudujääk siiski väheneb 384 miljoni euro ehk 1% võrra SKPst peamiselt tänu heale maksulaekumisele, mis mh parandab ka Tervisekassa eelarveseisu. Puudujääki vähendavad ka vähenenud tegevuskulud ja sotsiaaltoetused.</w:t>
      </w:r>
    </w:p>
    <w:p w14:paraId="581D7F68" w14:textId="6112D9BF" w:rsidR="009B57A3" w:rsidRPr="002A59E1" w:rsidRDefault="009B57A3" w:rsidP="009B57A3">
      <w:pPr>
        <w:pStyle w:val="Phitekst"/>
        <w:rPr>
          <w:b/>
          <w:bCs/>
        </w:rPr>
      </w:pPr>
      <w:r w:rsidRPr="00050ACF">
        <w:rPr>
          <w:b/>
          <w:bCs/>
        </w:rPr>
        <w:t>2025. aasta puudujääk suureneb 4,</w:t>
      </w:r>
      <w:r w:rsidR="001C4C00" w:rsidRPr="00050ACF">
        <w:rPr>
          <w:b/>
          <w:bCs/>
        </w:rPr>
        <w:t>1</w:t>
      </w:r>
      <w:r w:rsidRPr="00050ACF">
        <w:rPr>
          <w:b/>
          <w:bCs/>
        </w:rPr>
        <w:t xml:space="preserve">%ni SKPst nii eelmise aastaga kui eelmise prognoosiga võrreldes peamiselt prognoosile lisatud maksumuudatuste tõttu. </w:t>
      </w:r>
      <w:r w:rsidRPr="00050ACF">
        <w:t xml:space="preserve">Tulumaksumuudatused vähendavad riigieelarvesse laekuvat tulu </w:t>
      </w:r>
      <w:r w:rsidR="001C4C00" w:rsidRPr="00050ACF">
        <w:t>286</w:t>
      </w:r>
      <w:r w:rsidRPr="00050ACF">
        <w:t xml:space="preserve"> miljoni euro võrra 2024. aastaga võrreldes. 2025. aastal vähenevad ka CO</w:t>
      </w:r>
      <w:r w:rsidRPr="00050ACF">
        <w:rPr>
          <w:vertAlign w:val="subscript"/>
        </w:rPr>
        <w:t>2</w:t>
      </w:r>
      <w:r w:rsidRPr="00050ACF">
        <w:t xml:space="preserve"> heitmekvootide müügitulud, varade müügi ning omanikutulud. Tulude ja kulude prognoosi on täpsemalt kajastatud järgmistes peatükkides.</w:t>
      </w:r>
    </w:p>
    <w:p w14:paraId="20604E56" w14:textId="77777777" w:rsidR="00257307" w:rsidRPr="00FE7459" w:rsidRDefault="00257307" w:rsidP="00257307">
      <w:pPr>
        <w:pStyle w:val="Phitekst"/>
        <w:rPr>
          <w:rStyle w:val="Strong"/>
        </w:rPr>
      </w:pPr>
      <w:r w:rsidRPr="00FE7459">
        <w:rPr>
          <w:rStyle w:val="Strong"/>
        </w:rPr>
        <w:t xml:space="preserve">Sotsiaalkindlustusfondide </w:t>
      </w:r>
      <w:r>
        <w:rPr>
          <w:rStyle w:val="Strong"/>
        </w:rPr>
        <w:t>finantsseis on praegu hea</w:t>
      </w:r>
      <w:r w:rsidRPr="00FE7459">
        <w:rPr>
          <w:rStyle w:val="Strong"/>
        </w:rPr>
        <w:t>, kuid Tervisekassa kesk</w:t>
      </w:r>
      <w:r>
        <w:rPr>
          <w:rStyle w:val="Strong"/>
        </w:rPr>
        <w:t>-</w:t>
      </w:r>
      <w:r w:rsidRPr="00FE7459">
        <w:rPr>
          <w:rStyle w:val="Strong"/>
        </w:rPr>
        <w:t xml:space="preserve">pikk </w:t>
      </w:r>
      <w:r>
        <w:rPr>
          <w:rStyle w:val="Strong"/>
        </w:rPr>
        <w:t>tulevik</w:t>
      </w:r>
      <w:r w:rsidRPr="00FE7459">
        <w:rPr>
          <w:rStyle w:val="Strong"/>
        </w:rPr>
        <w:t xml:space="preserve"> on keeruline.</w:t>
      </w:r>
    </w:p>
    <w:p w14:paraId="29A9F230" w14:textId="7D40DF1C" w:rsidR="00257307" w:rsidRPr="0092151D" w:rsidRDefault="00257307" w:rsidP="00257307">
      <w:pPr>
        <w:pStyle w:val="Phitekst"/>
        <w:rPr>
          <w:highlight w:val="yellow"/>
        </w:rPr>
      </w:pPr>
      <w:r w:rsidRPr="00D909B7">
        <w:rPr>
          <w:rStyle w:val="Strong"/>
        </w:rPr>
        <w:t>Sotsiaalkindlustusfondide</w:t>
      </w:r>
      <w:r w:rsidRPr="00D909B7">
        <w:t xml:space="preserve"> sektorisse kuuluvad Eesti Tervisekassa ja Eesti Töötukassa. </w:t>
      </w:r>
      <w:r w:rsidRPr="00D909B7">
        <w:rPr>
          <w:rStyle w:val="Strong"/>
        </w:rPr>
        <w:t>Tervisekassa</w:t>
      </w:r>
      <w:r w:rsidRPr="00D909B7">
        <w:t xml:space="preserve"> jaoks oli 2022. aasta koroonakriisist vähem mõjutatud ja finantsiliselt edukas. Sotsiaalmaksu laekumine paranes oluliselt ning vähenesid kriisiga seotud kulutused, mida rahastati eraldisega lisaeelarvest. Kokkuvõttes oli aasta finantsiliselt algselt oodatust parem ning Tervisekassa saavutas 160 miljoni euro suuruse ülejäägi. Käesoleval aastal sotsiaalmaksu laekumine võrreldes </w:t>
      </w:r>
      <w:r>
        <w:t>kevadise</w:t>
      </w:r>
      <w:r w:rsidRPr="00D909B7">
        <w:t xml:space="preserve"> prognoosiga paraneb, täiendavat leevendust toob reservilt teenitav </w:t>
      </w:r>
      <w:r w:rsidRPr="000A339C">
        <w:t>intressitulu. Käesolevaks aastaks ootame ülejääki ligi 78</w:t>
      </w:r>
      <w:r w:rsidR="008B0EAE">
        <w:t> </w:t>
      </w:r>
      <w:r w:rsidRPr="000A339C">
        <w:t>miljonit eurot, mis on kevadel oodatust ligi 65</w:t>
      </w:r>
      <w:r w:rsidR="008B0EAE">
        <w:t> </w:t>
      </w:r>
      <w:r w:rsidRPr="000A339C">
        <w:t>miljonit parem tulemus. Peamiseks põhjuseks on paranenud sotsiaalmaksu laekumine</w:t>
      </w:r>
      <w:r>
        <w:t>.</w:t>
      </w:r>
      <w:r w:rsidRPr="000A339C">
        <w:t xml:space="preserve"> Järgmisel aastal on oodata tasakaalu. Kuigi sotsiaalmaksulaekumise ja muude tulude väljavaade on veidi paranenud, on Tervisekassal lisandunud kulusid, näiteks tervishoiutöötajate kollektiivleppest tulenevalt, muudatus</w:t>
      </w:r>
      <w:r>
        <w:t>test</w:t>
      </w:r>
      <w:r w:rsidRPr="000A339C">
        <w:t xml:space="preserve"> pakutavates teenustes ning ka avatud kohustustest</w:t>
      </w:r>
      <w:r>
        <w:t xml:space="preserve"> (töövõimetus</w:t>
      </w:r>
      <w:r>
        <w:softHyphen/>
        <w:t>hüvitistest)</w:t>
      </w:r>
      <w:r w:rsidRPr="000A339C">
        <w:t xml:space="preserve">, mille põhjuseks on varasemast kiirem palgakasv. See prognoos sisaldab tervishoiutöötajate palgakasvu </w:t>
      </w:r>
      <w:r>
        <w:t>kooskõlas</w:t>
      </w:r>
      <w:r w:rsidRPr="000A339C">
        <w:t xml:space="preserve"> majanduse palgakasvu tempo</w:t>
      </w:r>
      <w:r>
        <w:t>ga</w:t>
      </w:r>
      <w:r w:rsidRPr="000A339C">
        <w:t xml:space="preserve">, mis võrreldes varasemate prognoosidega on väga kiire, peegeldades suure hinnatõusu survet palgakasvuks. 2020. aasta sügisel otsustas riik eraldada </w:t>
      </w:r>
      <w:r>
        <w:t>Tervise</w:t>
      </w:r>
      <w:r w:rsidRPr="000A339C">
        <w:t xml:space="preserve">kassale selle osa sotsiaalmaksulaekumise langusest tekkinud puudujäägist, mida </w:t>
      </w:r>
      <w:r>
        <w:t>Tervise</w:t>
      </w:r>
      <w:r w:rsidRPr="000A339C">
        <w:t>kassa oma reservireeglite järgi aastatel 2021-2024 katta ei saa. Kuna keskvalitsus ei ole otsustanud tegevustoetuse jätkumist 2025. aastast, on alates 2025. aastast oodata arvestatavat puudujääki, mis jõuab 2027.</w:t>
      </w:r>
      <w:r w:rsidR="008B0EAE">
        <w:t> </w:t>
      </w:r>
      <w:r w:rsidRPr="000A339C">
        <w:t xml:space="preserve">aastaks 0,5%ni SKPst ehk ligi 220 miljonit euroni. Kuna Tervisekassa ei saa vastavalt kehtivatele reservikasutusreeglitele nii suurt negatiivset tulemit alates 2026. aastast katta, on Tervisekassa finantsväljavaade keeruline. Hinnangus on kasutatud Tervisekassa värsket 4 aasta finantsplaani, mis on koostatud käesoleva suveprognoosi põhjal, </w:t>
      </w:r>
      <w:r w:rsidRPr="000A339C">
        <w:lastRenderedPageBreak/>
        <w:t xml:space="preserve">2023. aasta riigieelarvet, Sotsiaalkindlustusameti riigieelarvelise eraldise prognoosi ning </w:t>
      </w:r>
      <w:r>
        <w:t xml:space="preserve">käesoleva prognoosi kohast </w:t>
      </w:r>
      <w:r w:rsidRPr="000A339C">
        <w:t>sotsiaalmaksu laekumise prognoosi.</w:t>
      </w:r>
    </w:p>
    <w:p w14:paraId="77BCF712" w14:textId="77777777" w:rsidR="00257307" w:rsidRPr="00673F79" w:rsidRDefault="00257307" w:rsidP="00257307">
      <w:pPr>
        <w:pStyle w:val="Phitekst"/>
        <w:rPr>
          <w:rFonts w:cstheme="minorHAnsi"/>
          <w:highlight w:val="yellow"/>
        </w:rPr>
      </w:pPr>
      <w:r w:rsidRPr="00673F79">
        <w:rPr>
          <w:rStyle w:val="Strong"/>
          <w:rFonts w:cstheme="minorHAnsi"/>
        </w:rPr>
        <w:t>Töötukassa</w:t>
      </w:r>
      <w:r w:rsidRPr="00673F79">
        <w:rPr>
          <w:rFonts w:cstheme="minorHAnsi"/>
        </w:rPr>
        <w:t xml:space="preserve"> finantsseis oli viimasel kolmel aastal sarnaselt Tervisekaasaga koroonakriisist tugevalt mõjutatud, kui</w:t>
      </w:r>
      <w:r>
        <w:rPr>
          <w:rFonts w:cstheme="minorHAnsi"/>
        </w:rPr>
        <w:t>d</w:t>
      </w:r>
      <w:r w:rsidRPr="00673F79">
        <w:rPr>
          <w:rFonts w:cstheme="minorHAnsi"/>
        </w:rPr>
        <w:t xml:space="preserve"> lõppenud aastal olukord normaliseerus. 2022. aasta lõpetati 34 miljoni euro suuruses ülejäägis. 2022. aastal osutus tööturg vastupidavaks ning kulutused stabiliseerusid, seda isegi koos Ukraina sõjapõgenikega saabumisega tekkinud lisakuludega. Võrreldes kevadise majandusprognoosiga, on väljavaade käesoleval aastal veidi halvenenud, kuigi tööturu väljavaade on veidi paranenud. Töötuskindlustusmakse laekumine on veidi paranenud, aga suuremaks on osutunud ka kulud hüvitistele. </w:t>
      </w:r>
      <w:r>
        <w:rPr>
          <w:rFonts w:cstheme="minorHAnsi"/>
        </w:rPr>
        <w:t>Siiski o</w:t>
      </w:r>
      <w:r w:rsidRPr="00673F79">
        <w:rPr>
          <w:rFonts w:cstheme="minorHAnsi"/>
        </w:rPr>
        <w:t xml:space="preserve">otame käesoleval aastal </w:t>
      </w:r>
      <w:r>
        <w:rPr>
          <w:rFonts w:cstheme="minorHAnsi"/>
        </w:rPr>
        <w:t xml:space="preserve">arvestatavat </w:t>
      </w:r>
      <w:r w:rsidRPr="00673F79">
        <w:rPr>
          <w:rFonts w:cstheme="minorHAnsi"/>
        </w:rPr>
        <w:t>ülejääki</w:t>
      </w:r>
      <w:r>
        <w:rPr>
          <w:rFonts w:cstheme="minorHAnsi"/>
        </w:rPr>
        <w:t>, mahus</w:t>
      </w:r>
      <w:r w:rsidRPr="00673F79">
        <w:rPr>
          <w:rFonts w:cstheme="minorHAnsi"/>
        </w:rPr>
        <w:t xml:space="preserve"> 18 miljonit eurot. Järgnevatel aastatel ootame sarnases suurusjärgus veidi kasvavad eelarveülejääki. See on võrreldes eelmise prognoosiga selge paranemine, mille põhjusteks on paranenud töötuskindlustus</w:t>
      </w:r>
      <w:r>
        <w:rPr>
          <w:rFonts w:cstheme="minorHAnsi"/>
        </w:rPr>
        <w:softHyphen/>
      </w:r>
      <w:r w:rsidRPr="00673F79">
        <w:rPr>
          <w:rFonts w:cstheme="minorHAnsi"/>
        </w:rPr>
        <w:t>vahendite laekumine ning ka teenuste eelarve muutus, mis on seotud uueneva tööhõive</w:t>
      </w:r>
      <w:r>
        <w:rPr>
          <w:rFonts w:cstheme="minorHAnsi"/>
        </w:rPr>
        <w:softHyphen/>
      </w:r>
      <w:r w:rsidRPr="00673F79">
        <w:rPr>
          <w:rFonts w:cstheme="minorHAnsi"/>
        </w:rPr>
        <w:t xml:space="preserve">programmiga. Kokkuvõttes Töötukassa reservide maht prognoosihorisondil palju ei muutu ja kasvab prognoosiperioodi lõpuks 670 miljoni euro suuruseks, jäädes suhtena Töötukassa kuludesse </w:t>
      </w:r>
      <w:r>
        <w:rPr>
          <w:rFonts w:cstheme="minorHAnsi"/>
        </w:rPr>
        <w:t>samale</w:t>
      </w:r>
      <w:r w:rsidRPr="00673F79">
        <w:rPr>
          <w:rFonts w:cstheme="minorHAnsi"/>
        </w:rPr>
        <w:t xml:space="preserve"> tasemele. Hinnangus on kasutatud Töötukassa koostatud kulude prognoosi, mis on </w:t>
      </w:r>
      <w:r>
        <w:rPr>
          <w:rFonts w:cstheme="minorHAnsi"/>
        </w:rPr>
        <w:t xml:space="preserve">põhineb </w:t>
      </w:r>
      <w:r w:rsidRPr="00673F79">
        <w:rPr>
          <w:rFonts w:cstheme="minorHAnsi"/>
        </w:rPr>
        <w:t>käesoleva prognoosi näitajate</w:t>
      </w:r>
      <w:r>
        <w:rPr>
          <w:rFonts w:cstheme="minorHAnsi"/>
        </w:rPr>
        <w:t>l</w:t>
      </w:r>
      <w:r w:rsidRPr="00673F79">
        <w:rPr>
          <w:rFonts w:cstheme="minorHAnsi"/>
        </w:rPr>
        <w:t xml:space="preserve">, samuti </w:t>
      </w:r>
      <w:r>
        <w:rPr>
          <w:rFonts w:cstheme="minorHAnsi"/>
        </w:rPr>
        <w:t xml:space="preserve">käesoleva prognoosi kohast </w:t>
      </w:r>
      <w:r w:rsidRPr="00673F79">
        <w:rPr>
          <w:rFonts w:cstheme="minorHAnsi"/>
        </w:rPr>
        <w:t>töötuskindlustusmakse laekumise prognoosi.</w:t>
      </w:r>
    </w:p>
    <w:p w14:paraId="1EE5E4FA" w14:textId="77777777" w:rsidR="009B57A3" w:rsidRPr="009F75A8" w:rsidRDefault="009B57A3" w:rsidP="009B57A3">
      <w:pPr>
        <w:pStyle w:val="Phitekst"/>
      </w:pPr>
      <w:r w:rsidRPr="00050ACF">
        <w:rPr>
          <w:rStyle w:val="Strong"/>
        </w:rPr>
        <w:t>Kohalike omavalitsuste eelarvepuudujääk oluliselt ei muutu, jäädes 0,2-0,3% tasemele SKPst kuni 2027. aastani.</w:t>
      </w:r>
      <w:r w:rsidRPr="00050ACF">
        <w:t xml:space="preserve"> Kõrge defitsiit on tingitud omavalitsuste tulude reaalhindades vähenemisest juba 2021. aastast alates, kasvanud </w:t>
      </w:r>
      <w:proofErr w:type="spellStart"/>
      <w:r w:rsidRPr="00050ACF">
        <w:t>euriborist</w:t>
      </w:r>
      <w:proofErr w:type="spellEnd"/>
      <w:r w:rsidRPr="00050ACF">
        <w:t xml:space="preserve"> ja sõjapõgenikega kaasnenud lisakuludest. See on halvendanud kohalike omavalitsuste finantsvõimekust, hakates piirama mh investeeringute taset ning nõudes omavalitsuselt jätkusuutlikkuse tagamiseks teenuste ja toetuse üle vaatamist.</w:t>
      </w:r>
    </w:p>
    <w:p w14:paraId="748E0350" w14:textId="77777777" w:rsidR="009B57A3" w:rsidRPr="009F75A8" w:rsidRDefault="009B57A3" w:rsidP="009B57A3">
      <w:pPr>
        <w:pStyle w:val="Phitekst"/>
      </w:pPr>
      <w:r w:rsidRPr="009F75A8">
        <w:t xml:space="preserve">Omavalitsuste finantsolukorra indeks võimaldab kokkuvõtlikul ja lihtsal viisil saada ülevaate omavalitsuse finantsseisu muutusest ajas ning võrrelda tulemust teiste omavalitsustega. Iga omavalitsuse finantsolukorraga on võimalik tutvuda siin: </w:t>
      </w:r>
      <w:hyperlink r:id="rId29" w:history="1">
        <w:r w:rsidRPr="009F75A8">
          <w:rPr>
            <w:rStyle w:val="Hyperlink"/>
          </w:rPr>
          <w:t>https://minuomavalitsus.ee/omavalitsuste-finantsolukorra-indeks</w:t>
        </w:r>
      </w:hyperlink>
      <w:r w:rsidRPr="009F75A8">
        <w:t>.</w:t>
      </w:r>
    </w:p>
    <w:p w14:paraId="0722129F" w14:textId="5FA5AC06" w:rsidR="009B57A3" w:rsidRPr="00050ACF" w:rsidRDefault="009B57A3" w:rsidP="009B57A3">
      <w:pPr>
        <w:pStyle w:val="Caption"/>
      </w:pPr>
      <w:bookmarkStart w:id="70" w:name="_Toc143518845"/>
      <w:bookmarkStart w:id="71" w:name="_Toc143775527"/>
      <w:r w:rsidRPr="00050ACF">
        <w:t xml:space="preserve">Joonis </w:t>
      </w:r>
      <w:r w:rsidR="004C0EAE">
        <w:fldChar w:fldCharType="begin"/>
      </w:r>
      <w:r w:rsidR="004C0EAE">
        <w:instrText xml:space="preserve"> SEQ Joonis \* ARABIC </w:instrText>
      </w:r>
      <w:r w:rsidR="004C0EAE">
        <w:fldChar w:fldCharType="separate"/>
      </w:r>
      <w:r w:rsidR="00C5527F">
        <w:rPr>
          <w:noProof/>
        </w:rPr>
        <w:t>12</w:t>
      </w:r>
      <w:r w:rsidR="004C0EAE">
        <w:rPr>
          <w:noProof/>
        </w:rPr>
        <w:fldChar w:fldCharType="end"/>
      </w:r>
      <w:r w:rsidRPr="00050ACF">
        <w:t>. Nominaalne eelarvepositsioon (%SKP)</w:t>
      </w:r>
      <w:bookmarkEnd w:id="70"/>
      <w:bookmarkEnd w:id="71"/>
    </w:p>
    <w:p w14:paraId="4131094C" w14:textId="77777777" w:rsidR="009B57A3" w:rsidRPr="00050ACF" w:rsidRDefault="009B57A3" w:rsidP="009B57A3">
      <w:r w:rsidRPr="00050ACF">
        <w:rPr>
          <w:noProof/>
        </w:rPr>
        <w:drawing>
          <wp:inline distT="0" distB="0" distL="0" distR="0" wp14:anchorId="01B8B6D6" wp14:editId="56037176">
            <wp:extent cx="2938766" cy="1886941"/>
            <wp:effectExtent l="0" t="0" r="0" b="0"/>
            <wp:docPr id="1137663594" name="Diagramm 1">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13E708B" w14:textId="77777777" w:rsidR="009B57A3" w:rsidRPr="009F75A8" w:rsidRDefault="009B57A3" w:rsidP="009B57A3">
      <w:pPr>
        <w:pStyle w:val="Mrkus"/>
      </w:pPr>
      <w:r w:rsidRPr="00050ACF">
        <w:t>Allikas: Statistikaamet, Rahandusministeerium</w:t>
      </w:r>
    </w:p>
    <w:p w14:paraId="2370465C" w14:textId="77777777" w:rsidR="009B57A3" w:rsidRPr="00050ACF" w:rsidRDefault="009B57A3" w:rsidP="009B57A3">
      <w:pPr>
        <w:pStyle w:val="Phitekst"/>
      </w:pPr>
      <w:r w:rsidRPr="00050ACF">
        <w:rPr>
          <w:rStyle w:val="Strong"/>
        </w:rPr>
        <w:t>Valitsussektori struktuurne eelarvepositsioon</w:t>
      </w:r>
      <w:r w:rsidRPr="00050ACF">
        <w:t xml:space="preserve"> </w:t>
      </w:r>
      <w:r w:rsidRPr="00050ACF">
        <w:rPr>
          <w:rStyle w:val="PhitekstChar"/>
          <w:rFonts w:asciiTheme="minorHAnsi" w:hAnsiTheme="minorHAnsi"/>
          <w:sz w:val="22"/>
        </w:rPr>
        <w:t>on kogu prognoosiperioodi kestel puudujäägis, ulatudes sel aastal 1,2%ni SKPst ning kasvades toodangulõhe sulgudes 2027. aastaks 4,3%ni SKPst. Hinnangut majandustsüklile on kirjeldatud peatükis 1.6.</w:t>
      </w:r>
    </w:p>
    <w:p w14:paraId="2548044D" w14:textId="698553DE" w:rsidR="009B57A3" w:rsidRPr="00050ACF" w:rsidRDefault="009B57A3" w:rsidP="009B57A3">
      <w:pPr>
        <w:pStyle w:val="Caption"/>
      </w:pPr>
      <w:bookmarkStart w:id="72" w:name="_Toc143518846"/>
      <w:bookmarkStart w:id="73" w:name="_Toc143775528"/>
      <w:r w:rsidRPr="00050ACF">
        <w:t xml:space="preserve">Joonis </w:t>
      </w:r>
      <w:r w:rsidR="004C0EAE">
        <w:fldChar w:fldCharType="begin"/>
      </w:r>
      <w:r w:rsidR="004C0EAE">
        <w:instrText xml:space="preserve"> SEQ Joonis \* ARABIC </w:instrText>
      </w:r>
      <w:r w:rsidR="004C0EAE">
        <w:fldChar w:fldCharType="separate"/>
      </w:r>
      <w:r w:rsidR="00C5527F">
        <w:rPr>
          <w:noProof/>
        </w:rPr>
        <w:t>13</w:t>
      </w:r>
      <w:r w:rsidR="004C0EAE">
        <w:rPr>
          <w:noProof/>
        </w:rPr>
        <w:fldChar w:fldCharType="end"/>
      </w:r>
      <w:r w:rsidRPr="00050ACF">
        <w:t>. Struktuurne eelarvepositsioon ja SKP lõhe (%</w:t>
      </w:r>
      <w:r w:rsidR="00722B88">
        <w:t> </w:t>
      </w:r>
      <w:r w:rsidRPr="00050ACF">
        <w:t>SKPst)</w:t>
      </w:r>
      <w:bookmarkEnd w:id="72"/>
      <w:bookmarkEnd w:id="73"/>
    </w:p>
    <w:p w14:paraId="56D9BF62" w14:textId="77777777" w:rsidR="009B57A3" w:rsidRPr="00050ACF" w:rsidRDefault="009B57A3" w:rsidP="009B57A3">
      <w:pPr>
        <w:pStyle w:val="Phitekst"/>
      </w:pPr>
      <w:r w:rsidRPr="00050ACF">
        <w:rPr>
          <w:noProof/>
        </w:rPr>
        <w:drawing>
          <wp:inline distT="0" distB="0" distL="0" distR="0" wp14:anchorId="1F32CD18" wp14:editId="61FFD65C">
            <wp:extent cx="2849880" cy="1790700"/>
            <wp:effectExtent l="0" t="0" r="7620" b="0"/>
            <wp:docPr id="1606711270" name="Diagramm 1">
              <a:extLst xmlns:a="http://schemas.openxmlformats.org/drawingml/2006/main">
                <a:ext uri="{FF2B5EF4-FFF2-40B4-BE49-F238E27FC236}">
                  <a16:creationId xmlns:a16="http://schemas.microsoft.com/office/drawing/2014/main" id="{00000000-0008-0000-01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A900264" w14:textId="77777777" w:rsidR="009B57A3" w:rsidRPr="00257307" w:rsidRDefault="009B57A3" w:rsidP="009B57A3">
      <w:pPr>
        <w:pStyle w:val="Mrkus"/>
      </w:pPr>
      <w:r w:rsidRPr="00050ACF">
        <w:t>Allikas: Statistikaamet, Rahandusministeerium</w:t>
      </w:r>
    </w:p>
    <w:p w14:paraId="46A1033C" w14:textId="090BA5D7" w:rsidR="003656CC" w:rsidRPr="00257307" w:rsidRDefault="003656CC" w:rsidP="003656CC">
      <w:pPr>
        <w:pStyle w:val="Mrkus"/>
      </w:pPr>
    </w:p>
    <w:p w14:paraId="5C0B61EF" w14:textId="4F48A133" w:rsidR="006549D3" w:rsidRPr="00257307" w:rsidRDefault="006549D3" w:rsidP="000C7A3D">
      <w:pPr>
        <w:pStyle w:val="Phitekst"/>
        <w:sectPr w:rsidR="006549D3" w:rsidRPr="00257307" w:rsidSect="0093189D">
          <w:endnotePr>
            <w:numFmt w:val="decimal"/>
          </w:endnotePr>
          <w:type w:val="continuous"/>
          <w:pgSz w:w="11906" w:h="16838"/>
          <w:pgMar w:top="964" w:right="964" w:bottom="964" w:left="964" w:header="709" w:footer="709" w:gutter="0"/>
          <w:cols w:num="2" w:space="708"/>
          <w:docGrid w:linePitch="360"/>
        </w:sectPr>
      </w:pPr>
    </w:p>
    <w:p w14:paraId="49EC4FF6" w14:textId="77777777" w:rsidR="00C74FB5" w:rsidRPr="00414819" w:rsidRDefault="00C74FB5" w:rsidP="00C74FB5">
      <w:pPr>
        <w:pStyle w:val="Phitekst"/>
        <w:rPr>
          <w:highlight w:val="yellow"/>
        </w:rPr>
        <w:sectPr w:rsidR="00C74FB5" w:rsidRPr="00414819" w:rsidSect="006E6E85">
          <w:footerReference w:type="default" r:id="rId32"/>
          <w:footerReference w:type="first" r:id="rId33"/>
          <w:endnotePr>
            <w:numFmt w:val="decimal"/>
          </w:endnotePr>
          <w:type w:val="continuous"/>
          <w:pgSz w:w="11906" w:h="16838"/>
          <w:pgMar w:top="964" w:right="964" w:bottom="964" w:left="964" w:header="709" w:footer="709" w:gutter="0"/>
          <w:cols w:space="708"/>
          <w:docGrid w:linePitch="360"/>
        </w:sectPr>
      </w:pPr>
      <w:bookmarkStart w:id="74" w:name="_Toc64504555"/>
      <w:bookmarkStart w:id="75" w:name="_Toc62631833"/>
      <w:bookmarkStart w:id="76" w:name="_Toc64847886"/>
      <w:bookmarkEnd w:id="67"/>
      <w:bookmarkEnd w:id="68"/>
      <w:bookmarkEnd w:id="69"/>
    </w:p>
    <w:p w14:paraId="3BDB835E" w14:textId="6D0F250C" w:rsidR="00E701CE" w:rsidRPr="00BF5ABF" w:rsidRDefault="00E701CE" w:rsidP="00E66452">
      <w:pPr>
        <w:pStyle w:val="Heading2"/>
      </w:pPr>
      <w:bookmarkStart w:id="77" w:name="_Hlk143512108"/>
      <w:bookmarkStart w:id="78" w:name="_Hlk143534576"/>
      <w:bookmarkStart w:id="79" w:name="_Toc143775502"/>
      <w:r w:rsidRPr="00BF5ABF">
        <w:lastRenderedPageBreak/>
        <w:t>VALITSUSSEKTORI TULUD</w:t>
      </w:r>
      <w:bookmarkEnd w:id="74"/>
      <w:bookmarkEnd w:id="75"/>
      <w:bookmarkEnd w:id="76"/>
      <w:r w:rsidR="00630E72" w:rsidRPr="00BF5ABF">
        <w:t>E PROGNOOS</w:t>
      </w:r>
      <w:bookmarkEnd w:id="79"/>
    </w:p>
    <w:p w14:paraId="1B1ADD69" w14:textId="1E3E10AE" w:rsidR="00630E72" w:rsidRPr="00050ACF" w:rsidRDefault="005F452A" w:rsidP="00630E72">
      <w:pPr>
        <w:pStyle w:val="Alapunkt"/>
        <w:rPr>
          <w:b/>
        </w:rPr>
        <w:sectPr w:rsidR="00630E72" w:rsidRPr="00050ACF" w:rsidSect="00C74FB5">
          <w:endnotePr>
            <w:numFmt w:val="decimal"/>
          </w:endnotePr>
          <w:pgSz w:w="11906" w:h="16838"/>
          <w:pgMar w:top="964" w:right="964" w:bottom="964" w:left="964" w:header="709" w:footer="709" w:gutter="0"/>
          <w:cols w:space="708"/>
          <w:docGrid w:linePitch="360"/>
        </w:sectPr>
      </w:pPr>
      <w:bookmarkStart w:id="80" w:name="_Hlk143533993"/>
      <w:bookmarkStart w:id="81" w:name="_Toc18917266"/>
      <w:r w:rsidRPr="00050ACF">
        <w:t>Valitsussektori t</w:t>
      </w:r>
      <w:bookmarkStart w:id="82" w:name="_Hlk143534009"/>
      <w:r w:rsidRPr="00050ACF">
        <w:t xml:space="preserve">ulude </w:t>
      </w:r>
      <w:r w:rsidR="00C07D22" w:rsidRPr="00050ACF">
        <w:t>osakaal langeb</w:t>
      </w:r>
      <w:r w:rsidR="007F425B" w:rsidRPr="00050ACF">
        <w:t xml:space="preserve"> vaatamata maksutõusudele</w:t>
      </w:r>
      <w:r w:rsidR="00C07D22" w:rsidRPr="00050ACF">
        <w:t xml:space="preserve"> 2027. aastaks 37,7%le SKPst </w:t>
      </w:r>
      <w:r w:rsidR="00A92CE5" w:rsidRPr="00050ACF">
        <w:t xml:space="preserve">EL </w:t>
      </w:r>
      <w:r w:rsidR="00C07D22" w:rsidRPr="00050ACF">
        <w:t>toetuste vähenemise</w:t>
      </w:r>
      <w:r w:rsidR="007F425B" w:rsidRPr="00050ACF">
        <w:t xml:space="preserve"> tõttu</w:t>
      </w:r>
      <w:bookmarkEnd w:id="82"/>
      <w:r w:rsidR="00C07D22" w:rsidRPr="00050ACF">
        <w:t>.</w:t>
      </w:r>
    </w:p>
    <w:bookmarkEnd w:id="80"/>
    <w:p w14:paraId="0F2F96DE" w14:textId="41C11CE6" w:rsidR="005F452A" w:rsidRPr="00722B88" w:rsidRDefault="005D4BE2" w:rsidP="005F452A">
      <w:pPr>
        <w:pStyle w:val="Phitekst"/>
      </w:pPr>
      <w:r w:rsidRPr="00722B88">
        <w:rPr>
          <w:rStyle w:val="Strong"/>
          <w:iCs/>
        </w:rPr>
        <w:t xml:space="preserve">2023. aastal kasvab Eesti valitsussektori tulude maht 10,7% ja osakaal SKPst suureneb 1,1% võrra 39,8%ni. </w:t>
      </w:r>
      <w:r w:rsidR="00C07D22" w:rsidRPr="00722B88">
        <w:rPr>
          <w:rStyle w:val="Strong"/>
          <w:iCs/>
        </w:rPr>
        <w:t xml:space="preserve">Tulude kasvukiirus on vaatamata majanduslangusele ja inflatsiooni aeglustumisele vaid veidi madalam kui möödunud aastal. Tööturg on püsinud tugev ja toetanud tööjõumaksude tasumist. </w:t>
      </w:r>
      <w:bookmarkStart w:id="83" w:name="_Hlk143534032"/>
      <w:r w:rsidR="007F425B" w:rsidRPr="00722B88">
        <w:rPr>
          <w:rStyle w:val="Strong"/>
          <w:iCs/>
        </w:rPr>
        <w:t xml:space="preserve">Finantssektori intressitulude kasv </w:t>
      </w:r>
      <w:r w:rsidR="00C07D22" w:rsidRPr="00722B88">
        <w:rPr>
          <w:rStyle w:val="Strong"/>
          <w:iCs/>
        </w:rPr>
        <w:t xml:space="preserve">ning möödunud aasta </w:t>
      </w:r>
      <w:r w:rsidR="007F425B" w:rsidRPr="00722B88">
        <w:rPr>
          <w:rStyle w:val="Strong"/>
          <w:iCs/>
        </w:rPr>
        <w:t xml:space="preserve">erasektori </w:t>
      </w:r>
      <w:r w:rsidR="00C07D22" w:rsidRPr="00722B88">
        <w:rPr>
          <w:rStyle w:val="Strong"/>
          <w:iCs/>
        </w:rPr>
        <w:t xml:space="preserve">kasumid on suurendanud juriidilise isiku tulumaksu laekumist. Aastatel 2024-2027 väheneb tulude osakaal SKPst </w:t>
      </w:r>
      <w:r w:rsidR="00076816">
        <w:rPr>
          <w:rStyle w:val="Strong"/>
          <w:iCs/>
        </w:rPr>
        <w:t xml:space="preserve">EL </w:t>
      </w:r>
      <w:r w:rsidR="00C07D22" w:rsidRPr="00722B88">
        <w:rPr>
          <w:rStyle w:val="Strong"/>
          <w:iCs/>
        </w:rPr>
        <w:t>toetuste vähenemise tõttu jõudes 2027. aastaks 37,7%le</w:t>
      </w:r>
      <w:r w:rsidR="00C07D22" w:rsidRPr="00722B88">
        <w:rPr>
          <w:iCs/>
        </w:rPr>
        <w:t xml:space="preserve"> </w:t>
      </w:r>
      <w:bookmarkEnd w:id="83"/>
      <w:r w:rsidR="005F452A" w:rsidRPr="00722B88">
        <w:t>(</w:t>
      </w:r>
      <w:r w:rsidR="005F452A" w:rsidRPr="00722B88">
        <w:fldChar w:fldCharType="begin"/>
      </w:r>
      <w:r w:rsidR="005F452A" w:rsidRPr="00722B88">
        <w:instrText xml:space="preserve"> REF _Ref81862905 \h  \* MERGEFORMAT </w:instrText>
      </w:r>
      <w:r w:rsidR="005F452A" w:rsidRPr="00722B88">
        <w:fldChar w:fldCharType="separate"/>
      </w:r>
      <w:r w:rsidR="00A377C1" w:rsidRPr="001D6947">
        <w:t xml:space="preserve">Tabel </w:t>
      </w:r>
      <w:r w:rsidR="00A377C1">
        <w:rPr>
          <w:noProof/>
        </w:rPr>
        <w:t>13</w:t>
      </w:r>
      <w:r w:rsidR="005F452A" w:rsidRPr="00722B88">
        <w:fldChar w:fldCharType="end"/>
      </w:r>
      <w:r w:rsidR="005F452A" w:rsidRPr="00722B88">
        <w:t>).</w:t>
      </w:r>
    </w:p>
    <w:p w14:paraId="558EDB9B" w14:textId="4E17D488" w:rsidR="00676898" w:rsidRPr="00050ACF" w:rsidRDefault="005F452A" w:rsidP="00263CCC">
      <w:pPr>
        <w:pStyle w:val="Phitekst"/>
      </w:pPr>
      <w:r w:rsidRPr="00722B88">
        <w:rPr>
          <w:rStyle w:val="Strong"/>
        </w:rPr>
        <w:t>Peamiselt koosnevad valitsussektori tulud riigieelarve tuludest</w:t>
      </w:r>
      <w:r w:rsidRPr="00722B88">
        <w:t xml:space="preserve">, seetõttu on järgnevalt selgitatud täiendavalt riigieelarve tulude peamiseid muutuseid. </w:t>
      </w:r>
      <w:r w:rsidR="0022322A" w:rsidRPr="00722B88">
        <w:t xml:space="preserve">Riigieelarve tulude maht suureneb tänavu eelmise aastaga võrreldes </w:t>
      </w:r>
      <w:r w:rsidR="005D4BE2" w:rsidRPr="00722B88">
        <w:t>9,8</w:t>
      </w:r>
      <w:r w:rsidR="00CB1BCE">
        <w:t>%</w:t>
      </w:r>
      <w:r w:rsidR="005D4BE2" w:rsidRPr="00722B88">
        <w:t xml:space="preserve"> 15</w:t>
      </w:r>
      <w:r w:rsidR="00CB1BCE">
        <w:t> </w:t>
      </w:r>
      <w:r w:rsidR="005D4BE2" w:rsidRPr="00722B88">
        <w:t>313 mln euroni</w:t>
      </w:r>
      <w:r w:rsidR="0022322A" w:rsidRPr="00722B88">
        <w:t xml:space="preserve"> </w:t>
      </w:r>
      <w:r w:rsidRPr="00722B88">
        <w:t>(</w:t>
      </w:r>
      <w:r w:rsidR="008434B2" w:rsidRPr="00722B88">
        <w:fldChar w:fldCharType="begin"/>
      </w:r>
      <w:r w:rsidR="008434B2" w:rsidRPr="00722B88">
        <w:instrText xml:space="preserve"> REF _Ref100012710 \h </w:instrText>
      </w:r>
      <w:r w:rsidR="00414819" w:rsidRPr="00722B88">
        <w:instrText xml:space="preserve"> \* MERGEFORMAT </w:instrText>
      </w:r>
      <w:r w:rsidR="008434B2" w:rsidRPr="00722B88">
        <w:fldChar w:fldCharType="separate"/>
      </w:r>
      <w:r w:rsidR="00A377C1" w:rsidRPr="00050ACF">
        <w:t xml:space="preserve">Tabel </w:t>
      </w:r>
      <w:r w:rsidR="00A377C1">
        <w:rPr>
          <w:noProof/>
        </w:rPr>
        <w:t>2</w:t>
      </w:r>
      <w:r w:rsidR="008434B2" w:rsidRPr="00722B88">
        <w:fldChar w:fldCharType="end"/>
      </w:r>
      <w:r w:rsidRPr="00722B88">
        <w:t>). Detailsemad andmed on esitatud Lisas (</w:t>
      </w:r>
      <w:r w:rsidR="008434B2" w:rsidRPr="00722B88">
        <w:fldChar w:fldCharType="begin"/>
      </w:r>
      <w:r w:rsidR="008434B2" w:rsidRPr="00722B88">
        <w:instrText xml:space="preserve"> REF _Ref511649101 \h </w:instrText>
      </w:r>
      <w:r w:rsidR="00414819" w:rsidRPr="00722B88">
        <w:instrText xml:space="preserve"> \* MERGEFORMAT </w:instrText>
      </w:r>
      <w:r w:rsidR="008434B2" w:rsidRPr="00722B88">
        <w:fldChar w:fldCharType="separate"/>
      </w:r>
      <w:r w:rsidR="00A377C1" w:rsidRPr="001D6947">
        <w:t xml:space="preserve">Tabel </w:t>
      </w:r>
      <w:r w:rsidR="00A377C1">
        <w:rPr>
          <w:noProof/>
        </w:rPr>
        <w:t>16</w:t>
      </w:r>
      <w:r w:rsidR="008434B2" w:rsidRPr="00722B88">
        <w:fldChar w:fldCharType="end"/>
      </w:r>
      <w:r w:rsidRPr="00722B88">
        <w:t>).</w:t>
      </w:r>
    </w:p>
    <w:p w14:paraId="02C18224" w14:textId="77777777" w:rsidR="00B7291B" w:rsidRPr="00414819" w:rsidRDefault="00B7291B" w:rsidP="00E015FB">
      <w:pPr>
        <w:pStyle w:val="Caption"/>
        <w:spacing w:before="240"/>
        <w:rPr>
          <w:highlight w:val="yellow"/>
        </w:rPr>
        <w:sectPr w:rsidR="00B7291B" w:rsidRPr="00414819" w:rsidSect="00B7291B">
          <w:footerReference w:type="default" r:id="rId34"/>
          <w:footerReference w:type="first" r:id="rId35"/>
          <w:endnotePr>
            <w:numFmt w:val="decimal"/>
          </w:endnotePr>
          <w:type w:val="continuous"/>
          <w:pgSz w:w="11906" w:h="16838"/>
          <w:pgMar w:top="964" w:right="964" w:bottom="964" w:left="964" w:header="709" w:footer="709" w:gutter="0"/>
          <w:cols w:num="2" w:space="708"/>
          <w:docGrid w:linePitch="360"/>
        </w:sectPr>
      </w:pPr>
      <w:bookmarkStart w:id="84" w:name="_Ref511514849"/>
      <w:bookmarkStart w:id="85" w:name="_Toc4502654"/>
      <w:bookmarkStart w:id="86" w:name="_Ref81834948"/>
      <w:bookmarkStart w:id="87" w:name="_Toc82084228"/>
    </w:p>
    <w:p w14:paraId="7C75A9FE" w14:textId="73138D04" w:rsidR="00E015FB" w:rsidRPr="00050ACF" w:rsidRDefault="00E015FB" w:rsidP="00E015FB">
      <w:pPr>
        <w:pStyle w:val="Caption"/>
        <w:spacing w:before="240"/>
      </w:pPr>
      <w:bookmarkStart w:id="88" w:name="_Ref100012710"/>
      <w:bookmarkStart w:id="89" w:name="_Toc143775543"/>
      <w:r w:rsidRPr="00050ACF">
        <w:t xml:space="preserve">Tabel </w:t>
      </w:r>
      <w:r w:rsidRPr="00050ACF">
        <w:rPr>
          <w:noProof/>
        </w:rPr>
        <w:fldChar w:fldCharType="begin"/>
      </w:r>
      <w:r w:rsidRPr="00050ACF">
        <w:rPr>
          <w:noProof/>
        </w:rPr>
        <w:instrText xml:space="preserve"> SEQ Tabel \* ARABIC </w:instrText>
      </w:r>
      <w:r w:rsidRPr="00050ACF">
        <w:rPr>
          <w:noProof/>
        </w:rPr>
        <w:fldChar w:fldCharType="separate"/>
      </w:r>
      <w:r w:rsidR="009B3859">
        <w:rPr>
          <w:noProof/>
        </w:rPr>
        <w:t>2</w:t>
      </w:r>
      <w:r w:rsidRPr="00050ACF">
        <w:rPr>
          <w:noProof/>
        </w:rPr>
        <w:fldChar w:fldCharType="end"/>
      </w:r>
      <w:bookmarkEnd w:id="84"/>
      <w:bookmarkEnd w:id="88"/>
      <w:r w:rsidRPr="00050ACF">
        <w:t>. 20</w:t>
      </w:r>
      <w:r w:rsidR="004F371E" w:rsidRPr="00050ACF">
        <w:t>2</w:t>
      </w:r>
      <w:r w:rsidR="00B277D8" w:rsidRPr="00050ACF">
        <w:t>0</w:t>
      </w:r>
      <w:r w:rsidRPr="00050ACF">
        <w:t>.-202</w:t>
      </w:r>
      <w:r w:rsidR="004F371E" w:rsidRPr="00050ACF">
        <w:t>7</w:t>
      </w:r>
      <w:r w:rsidRPr="00050ACF">
        <w:t xml:space="preserve">. aasta riigieelarve tulude </w:t>
      </w:r>
      <w:r w:rsidR="000C04EE" w:rsidRPr="00050ACF">
        <w:t>areng</w:t>
      </w:r>
      <w:r w:rsidRPr="00050ACF">
        <w:t xml:space="preserve"> (mln eurot)</w:t>
      </w:r>
      <w:bookmarkEnd w:id="85"/>
      <w:bookmarkEnd w:id="86"/>
      <w:bookmarkEnd w:id="87"/>
      <w:bookmarkEnd w:id="89"/>
    </w:p>
    <w:tbl>
      <w:tblPr>
        <w:tblStyle w:val="TableSubtle1"/>
        <w:tblW w:w="10071" w:type="dxa"/>
        <w:tblLayout w:type="fixed"/>
        <w:tblLook w:val="04A0" w:firstRow="1" w:lastRow="0" w:firstColumn="1" w:lastColumn="0" w:noHBand="0" w:noVBand="1"/>
      </w:tblPr>
      <w:tblGrid>
        <w:gridCol w:w="2518"/>
        <w:gridCol w:w="944"/>
        <w:gridCol w:w="944"/>
        <w:gridCol w:w="944"/>
        <w:gridCol w:w="944"/>
        <w:gridCol w:w="944"/>
        <w:gridCol w:w="944"/>
        <w:gridCol w:w="944"/>
        <w:gridCol w:w="945"/>
      </w:tblGrid>
      <w:tr w:rsidR="002243D6" w:rsidRPr="00050ACF" w14:paraId="5AD6724A" w14:textId="77777777" w:rsidTr="00325C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18" w:type="dxa"/>
            <w:hideMark/>
          </w:tcPr>
          <w:p w14:paraId="490774A7" w14:textId="77777777" w:rsidR="002243D6" w:rsidRPr="00050ACF" w:rsidRDefault="002243D6" w:rsidP="002243D6">
            <w:pPr>
              <w:spacing w:after="0"/>
              <w:rPr>
                <w:rFonts w:ascii="Segoe UI Light" w:hAnsi="Segoe UI Light"/>
                <w:color w:val="000000"/>
              </w:rPr>
            </w:pPr>
            <w:r w:rsidRPr="00050ACF">
              <w:rPr>
                <w:rFonts w:ascii="Segoe UI Light" w:hAnsi="Segoe UI Light"/>
                <w:color w:val="000000"/>
              </w:rPr>
              <w:t> </w:t>
            </w:r>
          </w:p>
        </w:tc>
        <w:tc>
          <w:tcPr>
            <w:tcW w:w="944" w:type="dxa"/>
          </w:tcPr>
          <w:p w14:paraId="3E12FC6A" w14:textId="36DEEE59"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2020</w:t>
            </w:r>
          </w:p>
        </w:tc>
        <w:tc>
          <w:tcPr>
            <w:tcW w:w="944" w:type="dxa"/>
          </w:tcPr>
          <w:p w14:paraId="796A4EDD" w14:textId="0F9BC405"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2021</w:t>
            </w:r>
          </w:p>
        </w:tc>
        <w:tc>
          <w:tcPr>
            <w:tcW w:w="944" w:type="dxa"/>
            <w:noWrap/>
            <w:hideMark/>
          </w:tcPr>
          <w:p w14:paraId="7E6064C0" w14:textId="6A1964E9"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2022</w:t>
            </w:r>
          </w:p>
        </w:tc>
        <w:tc>
          <w:tcPr>
            <w:tcW w:w="944" w:type="dxa"/>
            <w:noWrap/>
            <w:hideMark/>
          </w:tcPr>
          <w:p w14:paraId="53060C51" w14:textId="3C0476D5"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2023</w:t>
            </w:r>
          </w:p>
        </w:tc>
        <w:tc>
          <w:tcPr>
            <w:tcW w:w="944" w:type="dxa"/>
            <w:noWrap/>
            <w:hideMark/>
          </w:tcPr>
          <w:p w14:paraId="2A134EED" w14:textId="10F99244"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2024</w:t>
            </w:r>
          </w:p>
        </w:tc>
        <w:tc>
          <w:tcPr>
            <w:tcW w:w="944" w:type="dxa"/>
            <w:noWrap/>
            <w:hideMark/>
          </w:tcPr>
          <w:p w14:paraId="41C7A939" w14:textId="5A8CF14C"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2025</w:t>
            </w:r>
          </w:p>
        </w:tc>
        <w:tc>
          <w:tcPr>
            <w:tcW w:w="944" w:type="dxa"/>
            <w:noWrap/>
            <w:hideMark/>
          </w:tcPr>
          <w:p w14:paraId="23B3C25B" w14:textId="01F7EACC"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2026</w:t>
            </w:r>
          </w:p>
        </w:tc>
        <w:tc>
          <w:tcPr>
            <w:tcW w:w="945" w:type="dxa"/>
            <w:noWrap/>
            <w:hideMark/>
          </w:tcPr>
          <w:p w14:paraId="4233DDF2" w14:textId="103A0EE5" w:rsidR="002243D6" w:rsidRPr="00050ACF" w:rsidRDefault="002243D6" w:rsidP="002243D6">
            <w:pPr>
              <w:pStyle w:val="Tabelid"/>
              <w:jc w:val="right"/>
              <w:cnfStyle w:val="100000000000" w:firstRow="1" w:lastRow="0" w:firstColumn="0" w:lastColumn="0" w:oddVBand="0" w:evenVBand="0" w:oddHBand="0" w:evenHBand="0" w:firstRowFirstColumn="0" w:firstRowLastColumn="0" w:lastRowFirstColumn="0" w:lastRowLastColumn="0"/>
            </w:pPr>
            <w:r w:rsidRPr="00050ACF">
              <w:t>2027</w:t>
            </w:r>
          </w:p>
        </w:tc>
      </w:tr>
      <w:tr w:rsidR="009C3C98" w:rsidRPr="00722B88" w14:paraId="69F124B3" w14:textId="77777777" w:rsidTr="001D7370">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2518" w:type="dxa"/>
            <w:hideMark/>
          </w:tcPr>
          <w:p w14:paraId="20977FBF" w14:textId="77777777" w:rsidR="009C3C98" w:rsidRPr="00722B88" w:rsidRDefault="009C3C98" w:rsidP="009C3C98">
            <w:pPr>
              <w:pStyle w:val="Tabelid"/>
              <w:rPr>
                <w:bCs/>
              </w:rPr>
            </w:pPr>
            <w:r w:rsidRPr="00722B88">
              <w:rPr>
                <w:b w:val="0"/>
                <w:bCs/>
              </w:rPr>
              <w:t>Maksud ja</w:t>
            </w:r>
          </w:p>
          <w:p w14:paraId="6FEB77DE" w14:textId="6F0C81C6" w:rsidR="009C3C98" w:rsidRPr="00722B88" w:rsidRDefault="009C3C98" w:rsidP="009C3C98">
            <w:pPr>
              <w:pStyle w:val="Tabelid"/>
              <w:rPr>
                <w:b w:val="0"/>
                <w:bCs/>
              </w:rPr>
            </w:pPr>
            <w:r w:rsidRPr="00722B88">
              <w:rPr>
                <w:b w:val="0"/>
                <w:bCs/>
              </w:rPr>
              <w:t>sotsiaalkindlustusmaksed</w:t>
            </w:r>
          </w:p>
        </w:tc>
        <w:tc>
          <w:tcPr>
            <w:tcW w:w="944" w:type="dxa"/>
            <w:vAlign w:val="center"/>
          </w:tcPr>
          <w:p w14:paraId="37626A92" w14:textId="0F9D03B8"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9 394</w:t>
            </w:r>
          </w:p>
        </w:tc>
        <w:tc>
          <w:tcPr>
            <w:tcW w:w="944" w:type="dxa"/>
            <w:vAlign w:val="center"/>
          </w:tcPr>
          <w:p w14:paraId="559F44AB" w14:textId="612EFB55"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10 788</w:t>
            </w:r>
          </w:p>
        </w:tc>
        <w:tc>
          <w:tcPr>
            <w:tcW w:w="944" w:type="dxa"/>
            <w:noWrap/>
            <w:vAlign w:val="center"/>
          </w:tcPr>
          <w:p w14:paraId="5A1A47F5" w14:textId="06ACBEAF"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11 949</w:t>
            </w:r>
          </w:p>
        </w:tc>
        <w:tc>
          <w:tcPr>
            <w:tcW w:w="944" w:type="dxa"/>
            <w:noWrap/>
            <w:vAlign w:val="center"/>
          </w:tcPr>
          <w:p w14:paraId="3D477B2A" w14:textId="49D1AE2B"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12 957</w:t>
            </w:r>
          </w:p>
        </w:tc>
        <w:tc>
          <w:tcPr>
            <w:tcW w:w="944" w:type="dxa"/>
            <w:noWrap/>
            <w:vAlign w:val="center"/>
          </w:tcPr>
          <w:p w14:paraId="7A4CC914" w14:textId="61B0F0AD"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13 924</w:t>
            </w:r>
          </w:p>
        </w:tc>
        <w:tc>
          <w:tcPr>
            <w:tcW w:w="944" w:type="dxa"/>
            <w:noWrap/>
            <w:vAlign w:val="center"/>
          </w:tcPr>
          <w:p w14:paraId="6ECB07C3" w14:textId="23D694E6"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14 329</w:t>
            </w:r>
          </w:p>
        </w:tc>
        <w:tc>
          <w:tcPr>
            <w:tcW w:w="944" w:type="dxa"/>
            <w:noWrap/>
            <w:vAlign w:val="center"/>
          </w:tcPr>
          <w:p w14:paraId="7DF5BBA6" w14:textId="7792C917"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15 231</w:t>
            </w:r>
          </w:p>
        </w:tc>
        <w:tc>
          <w:tcPr>
            <w:tcW w:w="945" w:type="dxa"/>
            <w:noWrap/>
            <w:vAlign w:val="center"/>
          </w:tcPr>
          <w:p w14:paraId="572CBA3A" w14:textId="1872FD49" w:rsidR="009C3C98" w:rsidRPr="00722B88" w:rsidRDefault="009C3C98" w:rsidP="009C3C98">
            <w:pPr>
              <w:pStyle w:val="Tabelid"/>
              <w:jc w:val="right"/>
              <w:cnfStyle w:val="000000100000" w:firstRow="0" w:lastRow="0" w:firstColumn="0" w:lastColumn="0" w:oddVBand="0" w:evenVBand="0" w:oddHBand="1" w:evenHBand="0" w:firstRowFirstColumn="0" w:firstRowLastColumn="0" w:lastRowFirstColumn="0" w:lastRowLastColumn="0"/>
            </w:pPr>
            <w:r w:rsidRPr="009C3C98">
              <w:t>15 853</w:t>
            </w:r>
          </w:p>
        </w:tc>
      </w:tr>
      <w:tr w:rsidR="005D4BE2" w:rsidRPr="00722B88" w14:paraId="552D7A0A" w14:textId="77777777" w:rsidTr="001D7370">
        <w:trPr>
          <w:trHeight w:val="290"/>
        </w:trPr>
        <w:tc>
          <w:tcPr>
            <w:cnfStyle w:val="001000000000" w:firstRow="0" w:lastRow="0" w:firstColumn="1" w:lastColumn="0" w:oddVBand="0" w:evenVBand="0" w:oddHBand="0" w:evenHBand="0" w:firstRowFirstColumn="0" w:firstRowLastColumn="0" w:lastRowFirstColumn="0" w:lastRowLastColumn="0"/>
            <w:tcW w:w="2518" w:type="dxa"/>
            <w:noWrap/>
            <w:hideMark/>
          </w:tcPr>
          <w:p w14:paraId="6319DADD" w14:textId="77777777" w:rsidR="005D4BE2" w:rsidRPr="00722B88" w:rsidRDefault="005D4BE2" w:rsidP="005D4BE2">
            <w:pPr>
              <w:pStyle w:val="Tabelid"/>
              <w:rPr>
                <w:b w:val="0"/>
                <w:bCs/>
              </w:rPr>
            </w:pPr>
            <w:r w:rsidRPr="00722B88">
              <w:rPr>
                <w:b w:val="0"/>
                <w:bCs/>
              </w:rPr>
              <w:t>Mittemaksulised tulud</w:t>
            </w:r>
          </w:p>
        </w:tc>
        <w:tc>
          <w:tcPr>
            <w:tcW w:w="944" w:type="dxa"/>
            <w:vAlign w:val="center"/>
          </w:tcPr>
          <w:p w14:paraId="71EE4971" w14:textId="34A6F1A0"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1 394</w:t>
            </w:r>
          </w:p>
        </w:tc>
        <w:tc>
          <w:tcPr>
            <w:tcW w:w="944" w:type="dxa"/>
            <w:vAlign w:val="center"/>
          </w:tcPr>
          <w:p w14:paraId="5D84693D" w14:textId="54E4B567"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1 544</w:t>
            </w:r>
          </w:p>
        </w:tc>
        <w:tc>
          <w:tcPr>
            <w:tcW w:w="944" w:type="dxa"/>
            <w:noWrap/>
            <w:vAlign w:val="center"/>
          </w:tcPr>
          <w:p w14:paraId="3BC6264C" w14:textId="3355186D"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1 996</w:t>
            </w:r>
          </w:p>
        </w:tc>
        <w:tc>
          <w:tcPr>
            <w:tcW w:w="944" w:type="dxa"/>
            <w:noWrap/>
            <w:vAlign w:val="center"/>
          </w:tcPr>
          <w:p w14:paraId="3BB802FB" w14:textId="501D1DAC"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2 356</w:t>
            </w:r>
          </w:p>
        </w:tc>
        <w:tc>
          <w:tcPr>
            <w:tcW w:w="944" w:type="dxa"/>
            <w:noWrap/>
            <w:vAlign w:val="center"/>
          </w:tcPr>
          <w:p w14:paraId="1D573B11" w14:textId="3D345AAB"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2 474</w:t>
            </w:r>
          </w:p>
        </w:tc>
        <w:tc>
          <w:tcPr>
            <w:tcW w:w="944" w:type="dxa"/>
            <w:noWrap/>
            <w:vAlign w:val="center"/>
          </w:tcPr>
          <w:p w14:paraId="3681B386" w14:textId="080D5549"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2 447</w:t>
            </w:r>
          </w:p>
        </w:tc>
        <w:tc>
          <w:tcPr>
            <w:tcW w:w="944" w:type="dxa"/>
            <w:noWrap/>
            <w:vAlign w:val="center"/>
          </w:tcPr>
          <w:p w14:paraId="28D0E5EF" w14:textId="0A39BC0E"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2 384</w:t>
            </w:r>
          </w:p>
        </w:tc>
        <w:tc>
          <w:tcPr>
            <w:tcW w:w="945" w:type="dxa"/>
            <w:noWrap/>
            <w:vAlign w:val="center"/>
          </w:tcPr>
          <w:p w14:paraId="7111DBE3" w14:textId="0B9DC3FC"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1 853</w:t>
            </w:r>
          </w:p>
        </w:tc>
      </w:tr>
      <w:tr w:rsidR="005D4BE2" w:rsidRPr="00722B88" w14:paraId="45EBE8B8" w14:textId="77777777" w:rsidTr="001D737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518" w:type="dxa"/>
            <w:noWrap/>
            <w:hideMark/>
          </w:tcPr>
          <w:p w14:paraId="4CAFC519" w14:textId="77777777" w:rsidR="005D4BE2" w:rsidRPr="00722B88" w:rsidRDefault="005D4BE2" w:rsidP="005D4BE2">
            <w:pPr>
              <w:pStyle w:val="Tabelid"/>
            </w:pPr>
            <w:r w:rsidRPr="00722B88">
              <w:t>Tulud kokku</w:t>
            </w:r>
          </w:p>
        </w:tc>
        <w:tc>
          <w:tcPr>
            <w:tcW w:w="944" w:type="dxa"/>
            <w:vAlign w:val="center"/>
          </w:tcPr>
          <w:p w14:paraId="0E292667" w14:textId="0DD0FA24"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10 788</w:t>
            </w:r>
          </w:p>
        </w:tc>
        <w:tc>
          <w:tcPr>
            <w:tcW w:w="944" w:type="dxa"/>
            <w:vAlign w:val="center"/>
          </w:tcPr>
          <w:p w14:paraId="5BB2FA7C" w14:textId="4907AE74"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12 332</w:t>
            </w:r>
          </w:p>
        </w:tc>
        <w:tc>
          <w:tcPr>
            <w:tcW w:w="944" w:type="dxa"/>
            <w:noWrap/>
            <w:vAlign w:val="center"/>
          </w:tcPr>
          <w:p w14:paraId="7C40424E" w14:textId="4875C472"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13 945</w:t>
            </w:r>
          </w:p>
        </w:tc>
        <w:tc>
          <w:tcPr>
            <w:tcW w:w="944" w:type="dxa"/>
            <w:noWrap/>
            <w:vAlign w:val="center"/>
          </w:tcPr>
          <w:p w14:paraId="483CB3AE" w14:textId="7BBD4233"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15 313</w:t>
            </w:r>
          </w:p>
        </w:tc>
        <w:tc>
          <w:tcPr>
            <w:tcW w:w="944" w:type="dxa"/>
            <w:noWrap/>
            <w:vAlign w:val="center"/>
          </w:tcPr>
          <w:p w14:paraId="5BC5F21A" w14:textId="216D1C72"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16 398</w:t>
            </w:r>
          </w:p>
        </w:tc>
        <w:tc>
          <w:tcPr>
            <w:tcW w:w="944" w:type="dxa"/>
            <w:noWrap/>
            <w:vAlign w:val="center"/>
          </w:tcPr>
          <w:p w14:paraId="53E5ABC2" w14:textId="11273F15"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16 776</w:t>
            </w:r>
          </w:p>
        </w:tc>
        <w:tc>
          <w:tcPr>
            <w:tcW w:w="944" w:type="dxa"/>
            <w:noWrap/>
            <w:vAlign w:val="center"/>
          </w:tcPr>
          <w:p w14:paraId="2CFB02ED" w14:textId="3B427628"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17 615</w:t>
            </w:r>
          </w:p>
        </w:tc>
        <w:tc>
          <w:tcPr>
            <w:tcW w:w="945" w:type="dxa"/>
            <w:noWrap/>
            <w:vAlign w:val="center"/>
          </w:tcPr>
          <w:p w14:paraId="34AC0295" w14:textId="5C874C41" w:rsidR="005D4BE2" w:rsidRPr="00722B88" w:rsidRDefault="005D4BE2" w:rsidP="005D4BE2">
            <w:pPr>
              <w:pStyle w:val="Tabelid"/>
              <w:jc w:val="right"/>
              <w:cnfStyle w:val="000000100000" w:firstRow="0" w:lastRow="0" w:firstColumn="0" w:lastColumn="0" w:oddVBand="0" w:evenVBand="0" w:oddHBand="1" w:evenHBand="0" w:firstRowFirstColumn="0" w:firstRowLastColumn="0" w:lastRowFirstColumn="0" w:lastRowLastColumn="0"/>
            </w:pPr>
            <w:r w:rsidRPr="00722B88">
              <w:rPr>
                <w:b/>
                <w:bCs/>
              </w:rPr>
              <w:t>17 706</w:t>
            </w:r>
          </w:p>
        </w:tc>
      </w:tr>
      <w:tr w:rsidR="005D4BE2" w:rsidRPr="00050ACF" w14:paraId="4B435444" w14:textId="77777777" w:rsidTr="001D7370">
        <w:trPr>
          <w:trHeight w:val="300"/>
        </w:trPr>
        <w:tc>
          <w:tcPr>
            <w:cnfStyle w:val="001000000000" w:firstRow="0" w:lastRow="0" w:firstColumn="1" w:lastColumn="0" w:oddVBand="0" w:evenVBand="0" w:oddHBand="0" w:evenHBand="0" w:firstRowFirstColumn="0" w:firstRowLastColumn="0" w:lastRowFirstColumn="0" w:lastRowLastColumn="0"/>
            <w:tcW w:w="2518" w:type="dxa"/>
            <w:noWrap/>
            <w:hideMark/>
          </w:tcPr>
          <w:p w14:paraId="064BA57A" w14:textId="77777777" w:rsidR="005D4BE2" w:rsidRPr="00722B88" w:rsidRDefault="005D4BE2" w:rsidP="005D4BE2">
            <w:pPr>
              <w:pStyle w:val="Tabelid"/>
              <w:rPr>
                <w:b w:val="0"/>
                <w:bCs/>
              </w:rPr>
            </w:pPr>
            <w:r w:rsidRPr="00722B88">
              <w:rPr>
                <w:b w:val="0"/>
                <w:bCs/>
              </w:rPr>
              <w:t>Tulude kasv</w:t>
            </w:r>
          </w:p>
        </w:tc>
        <w:tc>
          <w:tcPr>
            <w:tcW w:w="944" w:type="dxa"/>
            <w:vAlign w:val="center"/>
          </w:tcPr>
          <w:p w14:paraId="1F17E980" w14:textId="0DB710EA"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-2,3%</w:t>
            </w:r>
          </w:p>
        </w:tc>
        <w:tc>
          <w:tcPr>
            <w:tcW w:w="944" w:type="dxa"/>
            <w:vAlign w:val="center"/>
          </w:tcPr>
          <w:p w14:paraId="7365A578" w14:textId="6F2B5E8F"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14,3%</w:t>
            </w:r>
          </w:p>
        </w:tc>
        <w:tc>
          <w:tcPr>
            <w:tcW w:w="944" w:type="dxa"/>
            <w:noWrap/>
            <w:vAlign w:val="center"/>
          </w:tcPr>
          <w:p w14:paraId="1D89E1DC" w14:textId="01BA7529"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13,1%</w:t>
            </w:r>
          </w:p>
        </w:tc>
        <w:tc>
          <w:tcPr>
            <w:tcW w:w="944" w:type="dxa"/>
            <w:noWrap/>
            <w:vAlign w:val="center"/>
          </w:tcPr>
          <w:p w14:paraId="4DAA72BD" w14:textId="0CDE56C6"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9,8%</w:t>
            </w:r>
          </w:p>
        </w:tc>
        <w:tc>
          <w:tcPr>
            <w:tcW w:w="944" w:type="dxa"/>
            <w:noWrap/>
            <w:vAlign w:val="center"/>
          </w:tcPr>
          <w:p w14:paraId="1F0090E2" w14:textId="2F3FBE38"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7,1%</w:t>
            </w:r>
          </w:p>
        </w:tc>
        <w:tc>
          <w:tcPr>
            <w:tcW w:w="944" w:type="dxa"/>
            <w:noWrap/>
            <w:vAlign w:val="center"/>
          </w:tcPr>
          <w:p w14:paraId="73C2E7DE" w14:textId="0268BB3A"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2,3%</w:t>
            </w:r>
          </w:p>
        </w:tc>
        <w:tc>
          <w:tcPr>
            <w:tcW w:w="944" w:type="dxa"/>
            <w:noWrap/>
            <w:vAlign w:val="center"/>
          </w:tcPr>
          <w:p w14:paraId="17463194" w14:textId="583FE818" w:rsidR="005D4BE2" w:rsidRPr="00722B88"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5,0%</w:t>
            </w:r>
          </w:p>
        </w:tc>
        <w:tc>
          <w:tcPr>
            <w:tcW w:w="945" w:type="dxa"/>
            <w:noWrap/>
            <w:vAlign w:val="center"/>
          </w:tcPr>
          <w:p w14:paraId="7AE8AD0A" w14:textId="75538960" w:rsidR="005D4BE2" w:rsidRPr="00050ACF" w:rsidRDefault="005D4BE2" w:rsidP="005D4BE2">
            <w:pPr>
              <w:pStyle w:val="Tabelid"/>
              <w:jc w:val="right"/>
              <w:cnfStyle w:val="000000000000" w:firstRow="0" w:lastRow="0" w:firstColumn="0" w:lastColumn="0" w:oddVBand="0" w:evenVBand="0" w:oddHBand="0" w:evenHBand="0" w:firstRowFirstColumn="0" w:firstRowLastColumn="0" w:lastRowFirstColumn="0" w:lastRowLastColumn="0"/>
            </w:pPr>
            <w:r w:rsidRPr="00722B88">
              <w:t>0,5%</w:t>
            </w:r>
          </w:p>
        </w:tc>
      </w:tr>
    </w:tbl>
    <w:p w14:paraId="71048373" w14:textId="77777777" w:rsidR="00E015FB" w:rsidRPr="00050ACF" w:rsidRDefault="00E015FB" w:rsidP="00E015FB">
      <w:pPr>
        <w:pStyle w:val="Mrkus"/>
      </w:pPr>
      <w:r w:rsidRPr="00050ACF">
        <w:t>Allikas: Rahandusministeerium</w:t>
      </w:r>
    </w:p>
    <w:bookmarkEnd w:id="77"/>
    <w:p w14:paraId="5814A0FB" w14:textId="77777777" w:rsidR="00E015FB" w:rsidRPr="00414819" w:rsidRDefault="00E015FB" w:rsidP="00E015FB">
      <w:pPr>
        <w:rPr>
          <w:rStyle w:val="Strong"/>
          <w:b w:val="0"/>
          <w:bCs w:val="0"/>
          <w:highlight w:val="yellow"/>
        </w:rPr>
      </w:pPr>
    </w:p>
    <w:p w14:paraId="31F6F495" w14:textId="04414C31" w:rsidR="00355528" w:rsidRPr="00414819" w:rsidRDefault="00355528" w:rsidP="00E015FB">
      <w:pPr>
        <w:rPr>
          <w:rStyle w:val="Strong"/>
          <w:b w:val="0"/>
          <w:bCs w:val="0"/>
          <w:highlight w:val="yellow"/>
        </w:rPr>
        <w:sectPr w:rsidR="00355528" w:rsidRPr="00414819" w:rsidSect="0093189D">
          <w:endnotePr>
            <w:numFmt w:val="decimal"/>
          </w:endnotePr>
          <w:type w:val="continuous"/>
          <w:pgSz w:w="11906" w:h="16838"/>
          <w:pgMar w:top="964" w:right="964" w:bottom="964" w:left="964" w:header="709" w:footer="709" w:gutter="0"/>
          <w:cols w:space="708"/>
          <w:docGrid w:linePitch="360"/>
        </w:sectPr>
      </w:pPr>
    </w:p>
    <w:p w14:paraId="4F4B1DDD" w14:textId="266AA0A3" w:rsidR="00C74FB5" w:rsidRPr="00257307" w:rsidRDefault="00E015FB" w:rsidP="00E015FB">
      <w:pPr>
        <w:pStyle w:val="Heading3"/>
        <w:rPr>
          <w:rStyle w:val="longtext"/>
        </w:rPr>
        <w:sectPr w:rsidR="00C74FB5" w:rsidRPr="00257307" w:rsidSect="00C74FB5">
          <w:endnotePr>
            <w:numFmt w:val="decimal"/>
          </w:endnotePr>
          <w:type w:val="continuous"/>
          <w:pgSz w:w="11906" w:h="16838"/>
          <w:pgMar w:top="964" w:right="964" w:bottom="964" w:left="964" w:header="709" w:footer="709" w:gutter="0"/>
          <w:cols w:space="708"/>
          <w:docGrid w:linePitch="360"/>
        </w:sectPr>
      </w:pPr>
      <w:bookmarkStart w:id="90" w:name="_Toc62631836"/>
      <w:bookmarkStart w:id="91" w:name="_Toc64504557"/>
      <w:bookmarkStart w:id="92" w:name="_Toc68514333"/>
      <w:bookmarkStart w:id="93" w:name="_Toc143775503"/>
      <w:r w:rsidRPr="00257307">
        <w:rPr>
          <w:rStyle w:val="longtext"/>
        </w:rPr>
        <w:t>Riigieelarve maksuliste tulude prognoo</w:t>
      </w:r>
      <w:bookmarkEnd w:id="90"/>
      <w:bookmarkEnd w:id="91"/>
      <w:bookmarkEnd w:id="92"/>
      <w:r w:rsidR="00C74FB5" w:rsidRPr="00257307">
        <w:rPr>
          <w:rStyle w:val="longtext"/>
        </w:rPr>
        <w:t>s</w:t>
      </w:r>
      <w:bookmarkEnd w:id="93"/>
    </w:p>
    <w:p w14:paraId="7E7F3A49" w14:textId="46B2162D" w:rsidR="008434B2" w:rsidRPr="00241CB2" w:rsidRDefault="00241CB2" w:rsidP="008434B2">
      <w:pPr>
        <w:pStyle w:val="Alapunkt"/>
        <w:sectPr w:rsidR="008434B2" w:rsidRPr="00241CB2" w:rsidSect="008434B2">
          <w:endnotePr>
            <w:numFmt w:val="decimal"/>
          </w:endnotePr>
          <w:type w:val="continuous"/>
          <w:pgSz w:w="11906" w:h="16838"/>
          <w:pgMar w:top="964" w:right="964" w:bottom="964" w:left="964" w:header="709" w:footer="709" w:gutter="0"/>
          <w:cols w:space="708"/>
          <w:docGrid w:linePitch="360"/>
        </w:sectPr>
      </w:pPr>
      <w:r w:rsidRPr="00050ACF">
        <w:t>Maksutulu kasvab</w:t>
      </w:r>
      <w:r w:rsidR="007F425B" w:rsidRPr="00050ACF">
        <w:t xml:space="preserve"> </w:t>
      </w:r>
      <w:bookmarkStart w:id="94" w:name="_Hlk143534096"/>
      <w:r w:rsidR="007F425B" w:rsidRPr="00050ACF">
        <w:t>võrreldes kevadprognoosiga</w:t>
      </w:r>
      <w:r w:rsidRPr="00050ACF">
        <w:t xml:space="preserve"> maksutõusude </w:t>
      </w:r>
      <w:bookmarkEnd w:id="94"/>
      <w:r w:rsidRPr="00050ACF">
        <w:t>ja tööturu prognoositust tugevama arengu tulemusel</w:t>
      </w:r>
      <w:r w:rsidR="008434B2" w:rsidRPr="00050ACF">
        <w:t>.</w:t>
      </w:r>
    </w:p>
    <w:p w14:paraId="54DA212A" w14:textId="6F96087C" w:rsidR="00257307" w:rsidRPr="00257307" w:rsidRDefault="00257307" w:rsidP="00257307">
      <w:pPr>
        <w:pStyle w:val="Phitekst"/>
      </w:pPr>
      <w:r w:rsidRPr="00E174C9">
        <w:rPr>
          <w:rStyle w:val="Strong"/>
        </w:rPr>
        <w:t xml:space="preserve">Riigieelarvesse laekuvat füüsilise isiku tulumaksu on maksuvaba tulu tõstmine </w:t>
      </w:r>
      <w:r>
        <w:rPr>
          <w:rStyle w:val="Strong"/>
        </w:rPr>
        <w:t xml:space="preserve">sel aastal </w:t>
      </w:r>
      <w:r w:rsidRPr="00E174C9">
        <w:rPr>
          <w:rStyle w:val="Strong"/>
        </w:rPr>
        <w:t xml:space="preserve">prognoositust vähem mõjutanud, sest inimesed ei ole seda jooksvalt kasutanud. </w:t>
      </w:r>
      <w:r w:rsidRPr="00695DB9">
        <w:rPr>
          <w:rStyle w:val="Strong"/>
        </w:rPr>
        <w:t>Tööjõumaksude tasumisele avaldab</w:t>
      </w:r>
      <w:r>
        <w:rPr>
          <w:rStyle w:val="Strong"/>
        </w:rPr>
        <w:t xml:space="preserve"> </w:t>
      </w:r>
      <w:r w:rsidRPr="00695DB9">
        <w:rPr>
          <w:rStyle w:val="Strong"/>
        </w:rPr>
        <w:t>k</w:t>
      </w:r>
      <w:r w:rsidRPr="00805F8A">
        <w:rPr>
          <w:rStyle w:val="Strong"/>
        </w:rPr>
        <w:t>ogu prognoosiperioodil positiivset mõju tööturu prognoositust tugevam areng</w:t>
      </w:r>
      <w:r>
        <w:rPr>
          <w:rStyle w:val="Strong"/>
        </w:rPr>
        <w:t xml:space="preserve"> vaatamata majanduslangusele</w:t>
      </w:r>
      <w:r w:rsidRPr="00805F8A">
        <w:rPr>
          <w:rStyle w:val="Strong"/>
        </w:rPr>
        <w:t xml:space="preserve">. </w:t>
      </w:r>
      <w:r w:rsidRPr="00257307">
        <w:t>Peamiselt tuleneb see keskmise palga kevadprognoosist kiiremast kasvust, mida mõjutab inflatsioonist tulenev palgasurve ja valitsussektori palgakulude kasv.</w:t>
      </w:r>
    </w:p>
    <w:p w14:paraId="4F3722B2" w14:textId="5D5908DF" w:rsidR="00257307" w:rsidRPr="00AE4CF3" w:rsidRDefault="00257307" w:rsidP="00257307">
      <w:pPr>
        <w:pStyle w:val="Phitekst"/>
        <w:rPr>
          <w:highlight w:val="cyan"/>
        </w:rPr>
      </w:pPr>
      <w:r w:rsidRPr="00142977">
        <w:t>2023.</w:t>
      </w:r>
      <w:r w:rsidRPr="008B6D6F">
        <w:t> aasta laekumise prognoos suurenes võrreldes kevadprognoosiga 93 mln euro võrra 723 mln euroni. Sellest 84 mln tulenes maksuvaba tulu</w:t>
      </w:r>
      <w:r>
        <w:t xml:space="preserve"> järgmisse aastasse</w:t>
      </w:r>
      <w:r w:rsidRPr="008B6D6F">
        <w:t xml:space="preserve"> nihutamise</w:t>
      </w:r>
      <w:r w:rsidRPr="008B6D6F">
        <w:rPr>
          <w:rStyle w:val="EndnoteReference"/>
        </w:rPr>
        <w:endnoteReference w:id="3"/>
      </w:r>
      <w:r w:rsidRPr="008B6D6F">
        <w:t xml:space="preserve"> suurenemise täiendavast arvesse võtmisest, sest igakuised laekumised on sel põhjusel prognoositust suuremad olnud hinnanguliselt 10-15 mln eurot kuus. </w:t>
      </w:r>
      <w:r>
        <w:t xml:space="preserve">Tulumaksutagastused jäävad suveprognoosi kohaselt 8 mln euro võrra madalamaks võrreldes </w:t>
      </w:r>
      <w:r>
        <w:t>kevadprognoosiga, ka juurde</w:t>
      </w:r>
      <w:r w:rsidR="00050ACF">
        <w:t xml:space="preserve"> </w:t>
      </w:r>
      <w:r>
        <w:t>määratud tulumaks jääb kevadprognoosile alla 13 mln euroga.</w:t>
      </w:r>
    </w:p>
    <w:p w14:paraId="113AE9B9" w14:textId="77777777" w:rsidR="00257307" w:rsidRDefault="00257307" w:rsidP="00257307">
      <w:pPr>
        <w:pStyle w:val="Phitekst"/>
      </w:pPr>
      <w:r w:rsidRPr="00805F8A">
        <w:t>2024. aastal kahaneb riigieelarvesse laekuv füüsilise isiku tulumaks 15,1% võrreldes 2023. aastaga eelkõige seoses üldhoolduse rahastamise reformiga, mis suurenda</w:t>
      </w:r>
      <w:r>
        <w:t>b</w:t>
      </w:r>
      <w:r w:rsidRPr="00805F8A">
        <w:t xml:space="preserve"> kohalike omavalitsuste tulumaksu – kohalikud omavalitsused hakkavad pensionikuludelt saama 2,5%, sama</w:t>
      </w:r>
      <w:r>
        <w:t>s</w:t>
      </w:r>
      <w:r w:rsidRPr="00805F8A">
        <w:t xml:space="preserve"> langetatakse </w:t>
      </w:r>
      <w:r>
        <w:t xml:space="preserve">KOVide </w:t>
      </w:r>
      <w:r w:rsidRPr="00805F8A">
        <w:t xml:space="preserve">eraldise määra 11,96%lt 11,89%le. Maksuvaba tulu </w:t>
      </w:r>
      <w:r>
        <w:t xml:space="preserve">järgmisse aastasse </w:t>
      </w:r>
      <w:r w:rsidRPr="00805F8A">
        <w:t xml:space="preserve">nihutamise kasvu positiivset mõju laekumisele tasakaalustab tulumaksutagastuste kasv. </w:t>
      </w:r>
      <w:r>
        <w:t xml:space="preserve">Keskmise pensioni kiirem kasv suurendab </w:t>
      </w:r>
      <w:r w:rsidRPr="00C53829">
        <w:t>vanaduspensioniealiste maksuvaba tulu, mis vähendab laekumist võrreldes kevadprognoosiga perioodil 2024–2027</w:t>
      </w:r>
      <w:r>
        <w:t>. Keskmise palga kiirem kasv viib inimesed senise maksuvaba tulu piirkonnast kiiremini välja, mis suurendab laekumist.</w:t>
      </w:r>
    </w:p>
    <w:p w14:paraId="1C2516A1" w14:textId="48D23F82" w:rsidR="00257307" w:rsidRDefault="00257307" w:rsidP="00257307">
      <w:pPr>
        <w:pStyle w:val="Phitekst"/>
      </w:pPr>
      <w:r>
        <w:t xml:space="preserve">2025. aasta laekumist mõjutavad uued maksumuudatused – üldist maksuvaba tulu tõstetakse 700 euroni ja kaotatakse regressioon ehk </w:t>
      </w:r>
      <w:r>
        <w:lastRenderedPageBreak/>
        <w:t>maksuvaba tulu suurus ei sõltu enam sissetulekute suurusest. Selle muudatusega kaasneb eeldatavalt ka inimeste käitumise muutus tagasi sarnaseks 2017. aasta olukorrale, kus ühtlase maksuvaba tulu puhul kasutati seda jooksvalt ega nihutatud seda järgmisse aastasse. Alates 2024. aastast kaotatakse mitmed tulumaksusoodustused (eluasemelaenu intresside soodustus, abikaasa ja laste täiendav mahaarvamine), mille mõju avaldub alates 2025.</w:t>
      </w:r>
      <w:r w:rsidR="008B0EAE">
        <w:t> </w:t>
      </w:r>
      <w:r>
        <w:t xml:space="preserve">aastast. Füüsiliste isikute tulumaksumäär tõstetakse 22%ni. </w:t>
      </w:r>
      <w:r w:rsidRPr="00805F8A">
        <w:t>Alates 2025. aastast avaldub II</w:t>
      </w:r>
      <w:r w:rsidR="008B0EAE">
        <w:t> </w:t>
      </w:r>
      <w:r w:rsidRPr="00805F8A">
        <w:t>pensionisamba maksete 2, 4 või 6% valiku tekkimise mõju, mis vähendab tulumaksu laekumist.</w:t>
      </w:r>
      <w:r>
        <w:t xml:space="preserve"> Kõigi muudatuste ja käitumise muutuse koosmõjul väheneb füüsilise isiku tulumaksu laekumine riigieelarvesse 2025. aastal </w:t>
      </w:r>
      <w:r w:rsidRPr="00050ACF">
        <w:t>kokku 4</w:t>
      </w:r>
      <w:r w:rsidR="006A3CD5" w:rsidRPr="00050ACF">
        <w:t>0</w:t>
      </w:r>
      <w:r w:rsidRPr="00050ACF">
        <w:t>0 mln</w:t>
      </w:r>
      <w:r>
        <w:t xml:space="preserve"> euro võrra.</w:t>
      </w:r>
    </w:p>
    <w:p w14:paraId="55E1EFB6" w14:textId="2AEB5FDD" w:rsidR="00257307" w:rsidRDefault="00257307" w:rsidP="00257307">
      <w:pPr>
        <w:pStyle w:val="Phitekst"/>
      </w:pPr>
      <w:r w:rsidRPr="00E34454">
        <w:t>Aastatel 2026–2027 vähenevad oluliselt tulumaksutagastused, sest maksuvaba tulu enam järgmisse aastasse ei nihutata</w:t>
      </w:r>
      <w:r>
        <w:t>. S</w:t>
      </w:r>
      <w:r w:rsidRPr="00E34454">
        <w:t>amas tähendab se</w:t>
      </w:r>
      <w:r>
        <w:t>e</w:t>
      </w:r>
      <w:r w:rsidRPr="00E34454">
        <w:t>, et riigile ei anta inimeste poolt jooksvat laenu</w:t>
      </w:r>
      <w:r>
        <w:t>, seega need muutused tasakaalustavad üksteist</w:t>
      </w:r>
      <w:r w:rsidRPr="00E34454">
        <w:t xml:space="preserve">. </w:t>
      </w:r>
      <w:r>
        <w:t>2027.</w:t>
      </w:r>
      <w:r w:rsidR="008B0EAE">
        <w:t> </w:t>
      </w:r>
      <w:r>
        <w:t xml:space="preserve">aastal, kui maksumuudatuste mõjud on avaldunud, kasvab füüsilise isiku tulumaks </w:t>
      </w:r>
      <w:r w:rsidRPr="00BC66DA">
        <w:t>7,2%</w:t>
      </w:r>
      <w:r>
        <w:t xml:space="preserve"> ja ulatub 445 mln euroni (vt </w:t>
      </w:r>
      <w:r w:rsidRPr="0082670F">
        <w:fldChar w:fldCharType="begin"/>
      </w:r>
      <w:r w:rsidRPr="0082670F">
        <w:instrText xml:space="preserve"> REF _Ref143179185 \h </w:instrText>
      </w:r>
      <w:r>
        <w:instrText xml:space="preserve"> \* MERGEFORMAT </w:instrText>
      </w:r>
      <w:r w:rsidRPr="0082670F">
        <w:fldChar w:fldCharType="separate"/>
      </w:r>
      <w:r w:rsidR="00A377C1" w:rsidRPr="00050ACF">
        <w:t xml:space="preserve">Joonis </w:t>
      </w:r>
      <w:r w:rsidR="00A377C1">
        <w:rPr>
          <w:noProof/>
        </w:rPr>
        <w:t>14</w:t>
      </w:r>
      <w:r w:rsidRPr="0082670F">
        <w:fldChar w:fldCharType="end"/>
      </w:r>
      <w:r w:rsidRPr="0082670F">
        <w:t>).</w:t>
      </w:r>
    </w:p>
    <w:p w14:paraId="57B5EF0F" w14:textId="67AE8C08" w:rsidR="00257307" w:rsidRPr="00894C3F" w:rsidRDefault="00257307" w:rsidP="00257307">
      <w:pPr>
        <w:pStyle w:val="Caption"/>
      </w:pPr>
      <w:bookmarkStart w:id="95" w:name="_Ref143179185"/>
      <w:bookmarkStart w:id="96" w:name="_Toc143775529"/>
      <w:r w:rsidRPr="00050ACF">
        <w:t xml:space="preserve">Joonis </w:t>
      </w:r>
      <w:r w:rsidR="004C0EAE">
        <w:fldChar w:fldCharType="begin"/>
      </w:r>
      <w:r w:rsidR="004C0EAE">
        <w:instrText xml:space="preserve"> SEQ Joonis \* ARABIC </w:instrText>
      </w:r>
      <w:r w:rsidR="004C0EAE">
        <w:fldChar w:fldCharType="separate"/>
      </w:r>
      <w:r w:rsidR="00C5527F">
        <w:rPr>
          <w:noProof/>
        </w:rPr>
        <w:t>14</w:t>
      </w:r>
      <w:r w:rsidR="004C0EAE">
        <w:rPr>
          <w:noProof/>
        </w:rPr>
        <w:fldChar w:fldCharType="end"/>
      </w:r>
      <w:bookmarkEnd w:id="95"/>
      <w:r w:rsidRPr="00050ACF">
        <w:t>. Riigieelarvesse laekuv füüsilise isiku tulumaks (mln eurot)</w:t>
      </w:r>
      <w:bookmarkEnd w:id="96"/>
    </w:p>
    <w:p w14:paraId="102DEE54" w14:textId="51A095CC" w:rsidR="002D1AFF" w:rsidRDefault="002D1AFF" w:rsidP="00257307">
      <w:pPr>
        <w:pStyle w:val="Phitekst"/>
      </w:pPr>
      <w:r>
        <w:rPr>
          <w:noProof/>
          <w14:ligatures w14:val="none"/>
        </w:rPr>
        <w:drawing>
          <wp:inline distT="0" distB="0" distL="0" distR="0" wp14:anchorId="189F957E" wp14:editId="28D31143">
            <wp:extent cx="2943225" cy="1715770"/>
            <wp:effectExtent l="0" t="0" r="0" b="0"/>
            <wp:docPr id="2061918471" name="Chart 1">
              <a:extLst xmlns:a="http://schemas.openxmlformats.org/drawingml/2006/main">
                <a:ext uri="{FF2B5EF4-FFF2-40B4-BE49-F238E27FC236}">
                  <a16:creationId xmlns:a16="http://schemas.microsoft.com/office/drawing/2014/main" id="{F24BDC71-5C8F-4704-A77B-28A4F6D541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F8CADED" w14:textId="77777777" w:rsidR="00257307" w:rsidRPr="00AE4CF3" w:rsidRDefault="00257307" w:rsidP="00257307">
      <w:pPr>
        <w:pStyle w:val="Phitekst"/>
        <w:rPr>
          <w:highlight w:val="cyan"/>
        </w:rPr>
      </w:pPr>
      <w:bookmarkStart w:id="97" w:name="_Hlk131003459"/>
      <w:r w:rsidRPr="00725844">
        <w:rPr>
          <w:rStyle w:val="Strong"/>
        </w:rPr>
        <w:t>Kohalike omavalitsuste füüsilise isiku tulumaksu laekumist suurendab üldhoolduse rahastamise reform.</w:t>
      </w:r>
      <w:r w:rsidRPr="00725844">
        <w:t xml:space="preserve"> Sarnaselt</w:t>
      </w:r>
      <w:r>
        <w:t xml:space="preserve"> riigieelarvesse laekuvale füüsilise isiku tulumaksule avaldab </w:t>
      </w:r>
      <w:r w:rsidRPr="00584E9B">
        <w:rPr>
          <w:b/>
          <w:bCs/>
        </w:rPr>
        <w:t>k</w:t>
      </w:r>
      <w:r w:rsidRPr="00805F8A">
        <w:rPr>
          <w:rStyle w:val="Strong"/>
        </w:rPr>
        <w:t>ogu prognoosiperioodile</w:t>
      </w:r>
      <w:r>
        <w:rPr>
          <w:rStyle w:val="Strong"/>
        </w:rPr>
        <w:t xml:space="preserve"> </w:t>
      </w:r>
      <w:r w:rsidRPr="00805F8A">
        <w:rPr>
          <w:rStyle w:val="Strong"/>
        </w:rPr>
        <w:t xml:space="preserve">positiivset mõju tööturu prognoositust tugevam areng. </w:t>
      </w:r>
      <w:r w:rsidRPr="00FB6BC6">
        <w:t xml:space="preserve">2023. aasta laekumise prognoos </w:t>
      </w:r>
      <w:r w:rsidRPr="00725844">
        <w:t xml:space="preserve">suurenes võrreldes kevadprognoosiga 55 mln euro võrra 1 701 mln euroni. </w:t>
      </w:r>
      <w:bookmarkStart w:id="98" w:name="_Hlk131084886"/>
      <w:r w:rsidRPr="00725844">
        <w:t xml:space="preserve">Alates 2024. aastast suurendab kohalike omavalitsuste tulumaksu laekumist üldhoolduse rahastamise reform, mistõttu KOVid saavad alates 2024. aastast 2,5% residendist füüsilise isiku riiklikust pensionist, samas vähendati KOVide </w:t>
      </w:r>
      <w:r w:rsidRPr="00725844">
        <w:t xml:space="preserve">eraldise määra 11,96%lt 11,89%le. </w:t>
      </w:r>
      <w:bookmarkEnd w:id="98"/>
      <w:r w:rsidRPr="00725844">
        <w:t>Perioodil 2025–2027 laekumise kasv stabiliseerub ja kohalikele omavalitsustele laekuv tulumaks kasvab keskmiselt 5,2% aastas.</w:t>
      </w:r>
      <w:bookmarkEnd w:id="97"/>
    </w:p>
    <w:p w14:paraId="42F917EB" w14:textId="77777777" w:rsidR="00257307" w:rsidRPr="00AE4CF3" w:rsidRDefault="00257307" w:rsidP="00257307">
      <w:pPr>
        <w:pStyle w:val="Phitekst"/>
        <w:rPr>
          <w:highlight w:val="cyan"/>
        </w:rPr>
      </w:pPr>
      <w:bookmarkStart w:id="99" w:name="_Hlk131003484"/>
      <w:r w:rsidRPr="00435F60">
        <w:rPr>
          <w:rStyle w:val="Strong"/>
        </w:rPr>
        <w:t xml:space="preserve">Sotsiaalmaksu tasumise kiirem kasv koos vanaduspensioniealiste maksuvaba tulu </w:t>
      </w:r>
      <w:r>
        <w:rPr>
          <w:rStyle w:val="Strong"/>
        </w:rPr>
        <w:t xml:space="preserve">seotus </w:t>
      </w:r>
      <w:r w:rsidRPr="00435F60">
        <w:rPr>
          <w:rStyle w:val="Strong"/>
        </w:rPr>
        <w:t xml:space="preserve">keskmise pensioniga toetab </w:t>
      </w:r>
      <w:r>
        <w:rPr>
          <w:rStyle w:val="Strong"/>
        </w:rPr>
        <w:t>eakate</w:t>
      </w:r>
      <w:r w:rsidRPr="00435F60">
        <w:rPr>
          <w:rStyle w:val="Strong"/>
        </w:rPr>
        <w:t xml:space="preserve"> inimeste ostujõudu.</w:t>
      </w:r>
      <w:r w:rsidRPr="00435F60">
        <w:rPr>
          <w:rStyle w:val="RhutusChar"/>
          <w:rFonts w:cstheme="minorHAnsi"/>
        </w:rPr>
        <w:t xml:space="preserve"> </w:t>
      </w:r>
      <w:r w:rsidRPr="00257307">
        <w:rPr>
          <w:rStyle w:val="Strong"/>
          <w:bCs w:val="0"/>
        </w:rPr>
        <w:t xml:space="preserve">Sarnaselt füüsilise isiku tulumaksule mõjutab tasumist kogu prognoosiperioodil </w:t>
      </w:r>
      <w:r w:rsidRPr="00805F8A">
        <w:rPr>
          <w:rStyle w:val="Strong"/>
        </w:rPr>
        <w:t xml:space="preserve">tööturu prognoositust tugevam areng. </w:t>
      </w:r>
      <w:r w:rsidRPr="00C562A3">
        <w:t>2023. aasta tasumise prognoos suurenes võrreldes kevadprognoosiga 100 mln euro võrra 4 610 mln euroni.</w:t>
      </w:r>
      <w:r>
        <w:t xml:space="preserve"> Alampalga hea tahte kokkulepe mõjutab positiivselt riigi poolt tasutava sotsiaalmaksu (SMS §6) tasumist aastatel </w:t>
      </w:r>
      <w:r w:rsidRPr="00C562A3">
        <w:t>2025–</w:t>
      </w:r>
      <w:r>
        <w:t>2027</w:t>
      </w:r>
      <w:r w:rsidRPr="00C562A3">
        <w:t>. Perioodil 2024–2027 kasvab sotsiaalmaksu tasumine keskmiselt 5,9% aastas.</w:t>
      </w:r>
    </w:p>
    <w:p w14:paraId="69175C66" w14:textId="77777777" w:rsidR="00257307" w:rsidRPr="00AE4CF3" w:rsidRDefault="00257307" w:rsidP="00257307">
      <w:pPr>
        <w:pStyle w:val="Phitekst"/>
        <w:rPr>
          <w:highlight w:val="cyan"/>
        </w:rPr>
      </w:pPr>
      <w:r w:rsidRPr="00C562A3">
        <w:t>Sotsiaalmaksu tasumisest sõltuvad pensioniindeks ja pensionikulud. Keskmine vanaduspension</w:t>
      </w:r>
      <w:r w:rsidRPr="00C562A3">
        <w:rPr>
          <w:vertAlign w:val="superscript"/>
        </w:rPr>
        <w:endnoteReference w:id="4"/>
      </w:r>
      <w:r w:rsidRPr="00C562A3">
        <w:t xml:space="preserve"> sõltub lisaks indeksile ka erakorralistest pensionitõusudest ning keskmise vanaduspensioni riigieelarve prognoosist sõltub alates 2023. aastast maksuvaba tulu vanaduspensionieas. Võrreldes kevadprognoosiga suurenes 2024. aasta keskmise pensioni prognoos 13 euro võrra 776 euroni kuus. Kättesaadavat ehk </w:t>
      </w:r>
      <w:r w:rsidRPr="00435F60">
        <w:t xml:space="preserve">neto pensionit ja palka mõjutab maksuvaba tulu. Keskmise neto vanaduspensioni suhe keskmisesse netopalka tõuseb </w:t>
      </w:r>
      <w:r>
        <w:t>2024. aastal</w:t>
      </w:r>
      <w:r w:rsidRPr="00435F60">
        <w:t xml:space="preserve"> 49,1%ni, kuid langeb siis 47% lähedale seoses üldise maksuvaba tulu tõstmisega.</w:t>
      </w:r>
    </w:p>
    <w:bookmarkEnd w:id="99"/>
    <w:p w14:paraId="4040A094" w14:textId="19F1C6D7" w:rsidR="00257307" w:rsidRPr="00AE4CF3" w:rsidRDefault="00257307" w:rsidP="00257307">
      <w:pPr>
        <w:pStyle w:val="Phitekst"/>
        <w:rPr>
          <w:highlight w:val="cyan"/>
        </w:rPr>
      </w:pPr>
      <w:r w:rsidRPr="00050ACF">
        <w:rPr>
          <w:rStyle w:val="Strong"/>
        </w:rPr>
        <w:t xml:space="preserve">Juriidilise isiku tulumaksu hea laekumine põhineb möödunud aasta kasumil ja </w:t>
      </w:r>
      <w:bookmarkStart w:id="100" w:name="_Hlk143534148"/>
      <w:r w:rsidR="007F425B" w:rsidRPr="00050ACF">
        <w:rPr>
          <w:rStyle w:val="Strong"/>
        </w:rPr>
        <w:t>finantssektori intressitulude kasvul</w:t>
      </w:r>
      <w:r w:rsidRPr="00050ACF">
        <w:rPr>
          <w:rStyle w:val="Strong"/>
        </w:rPr>
        <w:t>.</w:t>
      </w:r>
      <w:r w:rsidRPr="0018074C">
        <w:rPr>
          <w:rStyle w:val="Strong"/>
        </w:rPr>
        <w:t xml:space="preserve"> </w:t>
      </w:r>
      <w:bookmarkEnd w:id="100"/>
      <w:r w:rsidRPr="0018074C">
        <w:t>2023. aasta laekumise prognoos suurenes võrreldes kevadprognoosiga 55 mln euro võrra 726 mln euroni. Eelmisel aastal jõudsalt kasvanud kasumid on toetanud I poolaasta laekumist – tulumaks erasektori jaotatud kasumilt kasvas 17%.</w:t>
      </w:r>
      <w:r>
        <w:t xml:space="preserve"> Oluliselt on ülespoole korrigeeritud krediidiasutuste avansilise tulumaksu prognoosi, sest I</w:t>
      </w:r>
      <w:r w:rsidR="008B0EAE">
        <w:t> </w:t>
      </w:r>
      <w:r>
        <w:t>poolaasta laekumine ületas kevadprognoosi 9</w:t>
      </w:r>
      <w:r w:rsidR="008B0EAE">
        <w:t> </w:t>
      </w:r>
      <w:r>
        <w:t xml:space="preserve">mln eurot ja pankade kasumid kasvasid käesoleva aasta II kvartalis 165% v.e.a, mis on aluseks septembris laekuvale </w:t>
      </w:r>
      <w:proofErr w:type="spellStart"/>
      <w:r>
        <w:t>avansilisele</w:t>
      </w:r>
      <w:proofErr w:type="spellEnd"/>
      <w:r>
        <w:t xml:space="preserve"> tulumaksule.</w:t>
      </w:r>
    </w:p>
    <w:p w14:paraId="0A5D1A59" w14:textId="04E9558B" w:rsidR="00257307" w:rsidRDefault="00257307" w:rsidP="00257307">
      <w:pPr>
        <w:pStyle w:val="Phitekst"/>
      </w:pPr>
      <w:r w:rsidRPr="004E2358">
        <w:t xml:space="preserve">Edasises prognoosis on eeldatud, et kogu </w:t>
      </w:r>
      <w:r>
        <w:t xml:space="preserve">erasektori jaotatud kasumi </w:t>
      </w:r>
      <w:r w:rsidRPr="004E2358">
        <w:t xml:space="preserve">2023. aasta kasv baasiefektina edasi ei kandu, vaid osa </w:t>
      </w:r>
      <w:r>
        <w:t>sellest</w:t>
      </w:r>
      <w:r w:rsidRPr="004E2358">
        <w:t xml:space="preserve"> on erakorraline</w:t>
      </w:r>
      <w:r>
        <w:t>, mistõttu</w:t>
      </w:r>
      <w:r w:rsidRPr="004E2358">
        <w:t xml:space="preserve"> </w:t>
      </w:r>
      <w:r w:rsidRPr="002A09BD">
        <w:t>2024. aastal langeb erasektori jaotatud kasum varasemate aastate keskmisele tasemele SKPst.</w:t>
      </w:r>
      <w:r>
        <w:t xml:space="preserve"> Krediidiasutuste avansilist tulumaksu perioodil </w:t>
      </w:r>
      <w:r>
        <w:lastRenderedPageBreak/>
        <w:t>2025</w:t>
      </w:r>
      <w:r w:rsidRPr="00C562A3">
        <w:t>–</w:t>
      </w:r>
      <w:r>
        <w:t>2027 suurendab avansilise tulumaksu määra tõstmine 18%ni 2025. aastal ja edasine prognoos on seotud Euribori prognoosiga.</w:t>
      </w:r>
      <w:r w:rsidRPr="002A09BD">
        <w:t xml:space="preserve"> </w:t>
      </w:r>
      <w:r>
        <w:t>Juriidilise isiku tulumaksu määra tõstmine 22%ni jõustub 2025.</w:t>
      </w:r>
      <w:r w:rsidR="008B0EAE">
        <w:t> </w:t>
      </w:r>
      <w:r>
        <w:t>aastal, kuid see mõjutab laekumist alates 2024.</w:t>
      </w:r>
      <w:r w:rsidR="008B0EAE">
        <w:t> </w:t>
      </w:r>
      <w:r>
        <w:t>aastast, sest ettevõtted jaotavad enne maksumuudatust tõenäoliselt madalama maksumääraga kasumit rohkem kui kevadprognoosis. Riigiettevõtete tulumaks jaotatud kasumilt suureneb samuti tulumaksu määra tõusu tõttu, 2025. aastal on prognoositav tulumaks siiski väiksem võrreldes kevadprognoosiga eelkõige Eesti Energia dividendide vähenemise tõttu.</w:t>
      </w:r>
    </w:p>
    <w:p w14:paraId="0009853E" w14:textId="262894CA" w:rsidR="00877CAB" w:rsidRPr="00877CAB" w:rsidRDefault="004B1416" w:rsidP="00877CAB">
      <w:pPr>
        <w:spacing w:after="120" w:line="240" w:lineRule="auto"/>
        <w:jc w:val="both"/>
        <w:rPr>
          <w:rFonts w:ascii="Calibri" w:eastAsia="Calibri" w:hAnsi="Calibri" w:cs="Calibri"/>
          <w:kern w:val="0"/>
          <w14:ligatures w14:val="none"/>
        </w:rPr>
      </w:pPr>
      <w:r>
        <w:rPr>
          <w:rFonts w:ascii="Calibri" w:eastAsia="Calibri" w:hAnsi="Calibri" w:cs="Calibri"/>
          <w:b/>
          <w:kern w:val="0"/>
          <w14:ligatures w14:val="none"/>
        </w:rPr>
        <w:t xml:space="preserve">Käibemaksutulu suureneb </w:t>
      </w:r>
      <w:r w:rsidR="005F020D">
        <w:rPr>
          <w:rFonts w:ascii="Calibri" w:eastAsia="Calibri" w:hAnsi="Calibri" w:cs="Calibri"/>
          <w:b/>
          <w:kern w:val="0"/>
          <w14:ligatures w14:val="none"/>
        </w:rPr>
        <w:t>tänavu SKP nominaalkasvuga sarnases tempos, järgmisel aastal ootab ees viimaste aegade suurim käibemaksu poliitikamuudatus – standardmäära tõus</w:t>
      </w:r>
      <w:r w:rsidR="00C11159">
        <w:rPr>
          <w:rFonts w:ascii="Calibri" w:eastAsia="Calibri" w:hAnsi="Calibri" w:cs="Calibri"/>
          <w:b/>
          <w:kern w:val="0"/>
          <w14:ligatures w14:val="none"/>
        </w:rPr>
        <w:t xml:space="preserve"> 22%-</w:t>
      </w:r>
      <w:proofErr w:type="spellStart"/>
      <w:r w:rsidR="00C11159">
        <w:rPr>
          <w:rFonts w:ascii="Calibri" w:eastAsia="Calibri" w:hAnsi="Calibri" w:cs="Calibri"/>
          <w:b/>
          <w:kern w:val="0"/>
          <w14:ligatures w14:val="none"/>
        </w:rPr>
        <w:t>ni</w:t>
      </w:r>
      <w:proofErr w:type="spellEnd"/>
      <w:r w:rsidR="005F020D">
        <w:rPr>
          <w:rFonts w:ascii="Calibri" w:eastAsia="Calibri" w:hAnsi="Calibri" w:cs="Calibri"/>
          <w:b/>
          <w:kern w:val="0"/>
          <w14:ligatures w14:val="none"/>
        </w:rPr>
        <w:t xml:space="preserve">. </w:t>
      </w:r>
      <w:r w:rsidR="00877CAB" w:rsidRPr="005F020D">
        <w:rPr>
          <w:rFonts w:ascii="Calibri" w:eastAsia="Calibri" w:hAnsi="Calibri" w:cs="Calibri"/>
          <w:bCs/>
          <w:kern w:val="0"/>
          <w14:ligatures w14:val="none"/>
        </w:rPr>
        <w:t xml:space="preserve">Käibemaksu 2023. aasta tasumise prognoos  langeb võrreldes kevadprognoosiga 63 mln euro võrra 3 572 mln euroni, mis tuleneb jahenenud majanduskeskkonna taustal nii tarbija kindlustunde langusest kui ka säästupuhvrite ja ostujõu vähenemisest. 2024. aastast alates tõuseb käibemaksu tasumine kevadprognoosiga võrreldes enam seoses käibemaksuseaduse muudatuste ning paranenud väljavaatega käibemaksu baaskomponentide osas. </w:t>
      </w:r>
      <w:r w:rsidR="00877CAB" w:rsidRPr="00877CAB">
        <w:rPr>
          <w:rFonts w:ascii="Calibri" w:eastAsia="Calibri" w:hAnsi="Calibri" w:cs="Calibri"/>
          <w:bCs/>
          <w:kern w:val="0"/>
          <w14:ligatures w14:val="none"/>
        </w:rPr>
        <w:t>Käesoleva aasta</w:t>
      </w:r>
      <w:r w:rsidR="00877CAB" w:rsidRPr="00877CAB">
        <w:rPr>
          <w:rFonts w:ascii="Calibri" w:eastAsia="Calibri" w:hAnsi="Calibri" w:cs="Calibri"/>
          <w:b/>
          <w:kern w:val="0"/>
          <w14:ligatures w14:val="none"/>
        </w:rPr>
        <w:t xml:space="preserve"> </w:t>
      </w:r>
      <w:r w:rsidR="00877CAB" w:rsidRPr="00877CAB">
        <w:rPr>
          <w:rFonts w:ascii="Calibri" w:eastAsia="Calibri" w:hAnsi="Calibri" w:cs="Times New Roman"/>
        </w:rPr>
        <w:t>käibemaksu prognoosi allapoole korrigeerimist tingib ka tänavu esimese poolaasta mõõdukas tasumine, mis suurenes mullusega võrreldes 7,7%</w:t>
      </w:r>
      <w:r w:rsidR="00877CAB" w:rsidRPr="00877CAB">
        <w:rPr>
          <w:rFonts w:ascii="Calibri" w:eastAsia="Calibri" w:hAnsi="Calibri" w:cs="Times New Roman"/>
          <w:kern w:val="0"/>
          <w14:ligatures w14:val="none"/>
        </w:rPr>
        <w:t>. Tänavust juunikuud iseloomustas tagasihoidlik tasumine, mis kerkis mullusega võrreldes vaid 5,8%, vastukaaluks juunikuu hinnatõusule, mis küündis 9,2%ni.</w:t>
      </w:r>
    </w:p>
    <w:p w14:paraId="08493FB8" w14:textId="77777777" w:rsidR="00877CAB" w:rsidRPr="00877CAB" w:rsidRDefault="00877CAB" w:rsidP="00877CAB">
      <w:pPr>
        <w:jc w:val="both"/>
        <w:rPr>
          <w:rFonts w:ascii="Calibri" w:eastAsia="Calibri" w:hAnsi="Calibri" w:cs="Times New Roman"/>
          <w:kern w:val="0"/>
          <w14:ligatures w14:val="none"/>
        </w:rPr>
      </w:pPr>
      <w:r w:rsidRPr="00877CAB">
        <w:rPr>
          <w:rFonts w:ascii="Calibri" w:eastAsia="Calibri" w:hAnsi="Calibri" w:cs="Times New Roman"/>
          <w:kern w:val="0"/>
          <w14:ligatures w14:val="none"/>
        </w:rPr>
        <w:t>Lisaks mõjutab käibemaksu tasumist ning prognoosi käibemaksuaugu ehk varimajanduse tase, mis moodustab sarnaselt kevadprognoosile osakaaluna käibemaksutulust keskmiselt 2%. Veel avaldab mõju ettevõtete käibemaksuvõla vähendamine või suurenemine vastavalt kergitades või langetades käibemaksu tasumist. Praeguses majanduslanguse tingimustes ei ole ettevõtete käibemaksuvõlg veel kerkinud, vaid püsinud stabiilsel tasemel.</w:t>
      </w:r>
    </w:p>
    <w:p w14:paraId="7D1E1F0D" w14:textId="79798C25" w:rsidR="00877CAB" w:rsidRPr="00877CAB" w:rsidRDefault="00877CAB" w:rsidP="00877CAB">
      <w:pPr>
        <w:jc w:val="both"/>
        <w:rPr>
          <w:rFonts w:ascii="Calibri" w:eastAsia="Calibri" w:hAnsi="Calibri" w:cs="Times New Roman"/>
          <w:kern w:val="0"/>
          <w14:ligatures w14:val="none"/>
        </w:rPr>
      </w:pPr>
      <w:r w:rsidRPr="00877CAB">
        <w:rPr>
          <w:rFonts w:ascii="Calibri" w:eastAsia="Calibri" w:hAnsi="Calibri" w:cs="Times New Roman"/>
          <w:kern w:val="0"/>
          <w14:ligatures w14:val="none"/>
        </w:rPr>
        <w:t>Erinevalt kahest möödunud aastast ei avalda tänavu käibemaksutulu suurenemisele olulist mõju II</w:t>
      </w:r>
      <w:r w:rsidR="009B3859">
        <w:rPr>
          <w:rFonts w:ascii="Calibri" w:eastAsia="Calibri" w:hAnsi="Calibri" w:cs="Times New Roman"/>
          <w:kern w:val="0"/>
          <w14:ligatures w14:val="none"/>
        </w:rPr>
        <w:t> </w:t>
      </w:r>
      <w:r w:rsidRPr="00877CAB">
        <w:rPr>
          <w:rFonts w:ascii="Calibri" w:eastAsia="Calibri" w:hAnsi="Calibri" w:cs="Times New Roman"/>
          <w:kern w:val="0"/>
          <w14:ligatures w14:val="none"/>
        </w:rPr>
        <w:t>pensionisamba säästude kasutamine  2023. aastal vabaneb pensionisääste vaid 15% 2021.a ja poole vähem ka mullusest mahust.</w:t>
      </w:r>
    </w:p>
    <w:p w14:paraId="079A3FD7" w14:textId="66625E23" w:rsidR="00877CAB" w:rsidRPr="00877CAB" w:rsidRDefault="00877CAB" w:rsidP="00877CAB">
      <w:pPr>
        <w:jc w:val="both"/>
        <w:rPr>
          <w:rFonts w:ascii="Calibri" w:eastAsia="Calibri" w:hAnsi="Calibri" w:cs="Times New Roman"/>
          <w:kern w:val="0"/>
          <w:highlight w:val="yellow"/>
          <w14:ligatures w14:val="none"/>
        </w:rPr>
      </w:pPr>
      <w:r w:rsidRPr="00877CAB">
        <w:rPr>
          <w:rFonts w:ascii="Calibri" w:eastAsia="Calibri" w:hAnsi="Calibri" w:cs="Times New Roman"/>
          <w:kern w:val="0"/>
          <w14:ligatures w14:val="none"/>
        </w:rPr>
        <w:t xml:space="preserve">Eraisikute reaalpalk eelmisel aastal vähenes (6,5%), kuid käesoleva aasta III kvartalis peaks madala </w:t>
      </w:r>
      <w:r w:rsidRPr="00877CAB">
        <w:rPr>
          <w:rFonts w:ascii="Calibri" w:eastAsia="Calibri" w:hAnsi="Calibri" w:cs="Times New Roman"/>
          <w:kern w:val="0"/>
          <w14:ligatures w14:val="none"/>
        </w:rPr>
        <w:t>inflatsiooni tõttu tarbija ostujõud taastuma hakkama, sealjuures ületas juba juunis keskmine palgakasv (+11,4</w:t>
      </w:r>
      <w:r w:rsidR="00CB1BCE">
        <w:rPr>
          <w:rFonts w:ascii="Calibri" w:eastAsia="Calibri" w:hAnsi="Calibri" w:cs="Times New Roman"/>
          <w:kern w:val="0"/>
          <w14:ligatures w14:val="none"/>
        </w:rPr>
        <w:t>%</w:t>
      </w:r>
      <w:r w:rsidRPr="00877CAB">
        <w:rPr>
          <w:rFonts w:ascii="Calibri" w:eastAsia="Calibri" w:hAnsi="Calibri" w:cs="Times New Roman"/>
          <w:kern w:val="0"/>
          <w14:ligatures w14:val="none"/>
        </w:rPr>
        <w:t>) inflatsiooni (+9,2</w:t>
      </w:r>
      <w:r w:rsidR="00CB1BCE">
        <w:rPr>
          <w:rFonts w:ascii="Calibri" w:eastAsia="Calibri" w:hAnsi="Calibri" w:cs="Times New Roman"/>
          <w:kern w:val="0"/>
          <w14:ligatures w14:val="none"/>
        </w:rPr>
        <w:t>%</w:t>
      </w:r>
      <w:r w:rsidRPr="00877CAB">
        <w:rPr>
          <w:rFonts w:ascii="Calibri" w:eastAsia="Calibri" w:hAnsi="Calibri" w:cs="Times New Roman"/>
          <w:kern w:val="0"/>
          <w14:ligatures w14:val="none"/>
        </w:rPr>
        <w:t xml:space="preserve">). Ehkki aasta kokkuvõttes jääb siiski eratarbimise (8,6%) kui ka käibemaksu tasumise kasv (8,0%) hinnatõusu </w:t>
      </w:r>
      <w:r w:rsidRPr="00050ACF">
        <w:rPr>
          <w:rFonts w:ascii="Calibri" w:eastAsia="Calibri" w:hAnsi="Calibri" w:cs="Times New Roman"/>
          <w:kern w:val="0"/>
          <w14:ligatures w14:val="none"/>
        </w:rPr>
        <w:t>tempost (9,6%) tagasihoidlikumaks. Järgnevatel aastatel mõjutab oluliselt käibemaksu tasumist (vt.</w:t>
      </w:r>
      <w:r w:rsidR="001F5C31" w:rsidRPr="00050ACF">
        <w:rPr>
          <w:rFonts w:ascii="Calibri" w:eastAsia="Calibri" w:hAnsi="Calibri" w:cs="Times New Roman"/>
          <w:kern w:val="0"/>
          <w14:ligatures w14:val="none"/>
        </w:rPr>
        <w:t xml:space="preserve"> </w:t>
      </w:r>
      <w:r w:rsidR="001F5C31" w:rsidRPr="00050ACF">
        <w:rPr>
          <w:rFonts w:ascii="Calibri" w:eastAsia="Calibri" w:hAnsi="Calibri" w:cs="Times New Roman"/>
          <w:kern w:val="0"/>
          <w14:ligatures w14:val="none"/>
        </w:rPr>
        <w:fldChar w:fldCharType="begin"/>
      </w:r>
      <w:r w:rsidR="001F5C31" w:rsidRPr="00050ACF">
        <w:rPr>
          <w:rFonts w:ascii="Calibri" w:eastAsia="Calibri" w:hAnsi="Calibri" w:cs="Times New Roman"/>
          <w:kern w:val="0"/>
          <w14:ligatures w14:val="none"/>
        </w:rPr>
        <w:instrText xml:space="preserve"> REF _Ref511397834 \h </w:instrText>
      </w:r>
      <w:r w:rsidR="00050ACF">
        <w:rPr>
          <w:rFonts w:ascii="Calibri" w:eastAsia="Calibri" w:hAnsi="Calibri" w:cs="Times New Roman"/>
          <w:kern w:val="0"/>
          <w14:ligatures w14:val="none"/>
        </w:rPr>
        <w:instrText xml:space="preserve"> \* MERGEFORMAT </w:instrText>
      </w:r>
      <w:r w:rsidR="001F5C31" w:rsidRPr="00050ACF">
        <w:rPr>
          <w:rFonts w:ascii="Calibri" w:eastAsia="Calibri" w:hAnsi="Calibri" w:cs="Times New Roman"/>
          <w:kern w:val="0"/>
          <w14:ligatures w14:val="none"/>
        </w:rPr>
      </w:r>
      <w:r w:rsidR="001F5C31" w:rsidRPr="00050ACF">
        <w:rPr>
          <w:rFonts w:ascii="Calibri" w:eastAsia="Calibri" w:hAnsi="Calibri" w:cs="Times New Roman"/>
          <w:kern w:val="0"/>
          <w14:ligatures w14:val="none"/>
        </w:rPr>
        <w:fldChar w:fldCharType="separate"/>
      </w:r>
      <w:r w:rsidR="00A377C1" w:rsidRPr="001D6947">
        <w:t xml:space="preserve">Tabel </w:t>
      </w:r>
      <w:r w:rsidR="00A377C1">
        <w:rPr>
          <w:noProof/>
        </w:rPr>
        <w:t>17</w:t>
      </w:r>
      <w:r w:rsidR="001F5C31" w:rsidRPr="00050ACF">
        <w:rPr>
          <w:rFonts w:ascii="Calibri" w:eastAsia="Calibri" w:hAnsi="Calibri" w:cs="Times New Roman"/>
          <w:kern w:val="0"/>
          <w14:ligatures w14:val="none"/>
        </w:rPr>
        <w:fldChar w:fldCharType="end"/>
      </w:r>
      <w:r w:rsidRPr="00050ACF">
        <w:rPr>
          <w:rFonts w:ascii="Calibri" w:eastAsia="Calibri" w:hAnsi="Calibri" w:cs="Times New Roman"/>
          <w:kern w:val="0"/>
          <w14:ligatures w14:val="none"/>
        </w:rPr>
        <w:t>)</w:t>
      </w:r>
      <w:r w:rsidRPr="00877CAB">
        <w:rPr>
          <w:rFonts w:ascii="Calibri" w:eastAsia="Calibri" w:hAnsi="Calibri" w:cs="Times New Roman"/>
          <w:kern w:val="0"/>
          <w14:ligatures w14:val="none"/>
        </w:rPr>
        <w:t xml:space="preserve"> kavandatud  käibemaksumuudatuste pakett, millega alates 2024. aastast tõuseb standardmäär 22%le ning 2025.aastast tõuseb majutuse ja ajakirjandusväljaannete käibemaks vastavalt 13%le ja 9%le.</w:t>
      </w:r>
    </w:p>
    <w:p w14:paraId="16553137" w14:textId="1F6A42F3" w:rsidR="00257307" w:rsidRPr="00692A07" w:rsidRDefault="00877CAB" w:rsidP="00877CAB">
      <w:pPr>
        <w:pStyle w:val="Phitekst"/>
        <w:rPr>
          <w:rFonts w:ascii="Calibri" w:eastAsia="Calibri" w:hAnsi="Calibri" w:cs="Times New Roman"/>
        </w:rPr>
      </w:pPr>
      <w:r w:rsidRPr="00877CAB">
        <w:rPr>
          <w:rFonts w:ascii="Calibri" w:eastAsia="Calibri" w:hAnsi="Calibri" w:cs="Times New Roman"/>
          <w:kern w:val="0"/>
          <w14:ligatures w14:val="none"/>
        </w:rPr>
        <w:t>Prognoosiperioodi vältel 2024-2027 kasvab käibemaksu tasumine aastas keskmiselt 6,5%.</w:t>
      </w:r>
      <w:r w:rsidRPr="00877CAB">
        <w:rPr>
          <w:rFonts w:ascii="Calibri" w:eastAsia="Calibri" w:hAnsi="Calibri" w:cs="Times New Roman"/>
          <w:b/>
          <w:bCs/>
          <w:kern w:val="0"/>
          <w14:ligatures w14:val="none"/>
        </w:rPr>
        <w:t xml:space="preserve"> </w:t>
      </w:r>
      <w:r w:rsidRPr="00877CAB">
        <w:rPr>
          <w:rFonts w:ascii="Calibri" w:eastAsia="Calibri" w:hAnsi="Calibri" w:cs="Times New Roman"/>
          <w:kern w:val="0"/>
          <w14:ligatures w14:val="none"/>
        </w:rPr>
        <w:t>Käibemaksubaasi osakaal SKPst langeb 80% juurest 78%le</w:t>
      </w:r>
      <w:r w:rsidR="00257307" w:rsidRPr="000E1E0F">
        <w:rPr>
          <w:rFonts w:ascii="Calibri" w:eastAsia="Calibri" w:hAnsi="Calibri" w:cs="Times New Roman"/>
        </w:rPr>
        <w:t>.</w:t>
      </w:r>
    </w:p>
    <w:p w14:paraId="5D4DBAC9" w14:textId="65B94698" w:rsidR="00257307" w:rsidRPr="007F2E01" w:rsidRDefault="00257307" w:rsidP="00257307">
      <w:pPr>
        <w:jc w:val="both"/>
        <w:rPr>
          <w:rFonts w:cstheme="minorHAnsi"/>
        </w:rPr>
      </w:pPr>
      <w:r w:rsidRPr="00050ACF">
        <w:rPr>
          <w:rFonts w:eastAsia="Calibri" w:cstheme="minorHAnsi"/>
          <w:b/>
          <w:bCs/>
        </w:rPr>
        <w:t>Aktsiiside</w:t>
      </w:r>
      <w:r w:rsidRPr="00050ACF">
        <w:rPr>
          <w:rFonts w:eastAsia="Calibri" w:cstheme="minorHAnsi"/>
        </w:rPr>
        <w:t xml:space="preserve"> </w:t>
      </w:r>
      <w:r w:rsidRPr="00050ACF">
        <w:rPr>
          <w:rFonts w:cstheme="minorHAnsi"/>
          <w:b/>
          <w:bCs/>
        </w:rPr>
        <w:t xml:space="preserve">tasumised suurenevad eelmise aastaga võrreldes, kuid seda marginaalselt ja </w:t>
      </w:r>
      <w:r w:rsidR="000A5630" w:rsidRPr="00050ACF">
        <w:rPr>
          <w:rFonts w:cstheme="minorHAnsi"/>
          <w:b/>
          <w:bCs/>
        </w:rPr>
        <w:t>kevadprognoos</w:t>
      </w:r>
      <w:r w:rsidR="004C6862" w:rsidRPr="00050ACF">
        <w:rPr>
          <w:rFonts w:cstheme="minorHAnsi"/>
          <w:b/>
          <w:bCs/>
        </w:rPr>
        <w:t>ist</w:t>
      </w:r>
      <w:r w:rsidRPr="00050ACF">
        <w:rPr>
          <w:rFonts w:cstheme="minorHAnsi"/>
          <w:b/>
          <w:bCs/>
        </w:rPr>
        <w:t xml:space="preserve"> aeglasem</w:t>
      </w:r>
      <w:r w:rsidR="00050ACF">
        <w:rPr>
          <w:rFonts w:cstheme="minorHAnsi"/>
          <w:b/>
          <w:bCs/>
        </w:rPr>
        <w:t>alt</w:t>
      </w:r>
      <w:r w:rsidRPr="00050ACF">
        <w:rPr>
          <w:rFonts w:cstheme="minorHAnsi"/>
          <w:b/>
          <w:bCs/>
        </w:rPr>
        <w:t>.</w:t>
      </w:r>
      <w:r w:rsidRPr="00050ACF">
        <w:rPr>
          <w:rFonts w:cstheme="minorHAnsi"/>
        </w:rPr>
        <w:t xml:space="preserve"> Esimese poolaasta tasumised, mis on jooksva aasta prognoosimisel üks olulisemaid tegureid, on jäänud nii eelmisest aastast kui kevadprognoosis oodatust mõnevõrra madalamaks. Olulisemateks mõjutajateks on olnud tubakaturul toimuv struktuurne muutus ning </w:t>
      </w:r>
      <w:r w:rsidR="008521DC" w:rsidRPr="00050ACF">
        <w:rPr>
          <w:rFonts w:cstheme="minorHAnsi"/>
        </w:rPr>
        <w:t xml:space="preserve">jahenev majanduskeskkond </w:t>
      </w:r>
      <w:r w:rsidRPr="00050ACF">
        <w:rPr>
          <w:rFonts w:cstheme="minorHAnsi"/>
        </w:rPr>
        <w:t>töötleva</w:t>
      </w:r>
      <w:r w:rsidR="008521DC" w:rsidRPr="00050ACF">
        <w:rPr>
          <w:rFonts w:cstheme="minorHAnsi"/>
        </w:rPr>
        <w:t>s</w:t>
      </w:r>
      <w:r w:rsidRPr="00050ACF">
        <w:rPr>
          <w:rFonts w:cstheme="minorHAnsi"/>
        </w:rPr>
        <w:t xml:space="preserve"> tööstuse</w:t>
      </w:r>
      <w:r w:rsidR="008521DC" w:rsidRPr="00050ACF">
        <w:rPr>
          <w:rFonts w:cstheme="minorHAnsi"/>
        </w:rPr>
        <w:t>s</w:t>
      </w:r>
      <w:r w:rsidRPr="00050ACF">
        <w:rPr>
          <w:rFonts w:cstheme="minorHAnsi"/>
        </w:rPr>
        <w:t>.</w:t>
      </w:r>
    </w:p>
    <w:p w14:paraId="0A038684" w14:textId="0B7A27EC" w:rsidR="00257307" w:rsidRPr="007F2E01" w:rsidRDefault="00257307" w:rsidP="00257307">
      <w:pPr>
        <w:jc w:val="both"/>
        <w:rPr>
          <w:rFonts w:eastAsia="Calibri" w:cstheme="minorHAnsi"/>
        </w:rPr>
      </w:pPr>
      <w:r w:rsidRPr="007F2E01">
        <w:rPr>
          <w:rFonts w:eastAsia="Calibri" w:cstheme="minorHAnsi"/>
          <w:b/>
          <w:bCs/>
        </w:rPr>
        <w:t>Alkoholiaktsiisi</w:t>
      </w:r>
      <w:r w:rsidRPr="007F2E01">
        <w:rPr>
          <w:rFonts w:eastAsia="Calibri" w:cstheme="minorHAnsi"/>
        </w:rPr>
        <w:t xml:space="preserve"> tasumise prognoos suurenes selleks aastaks võrreldes kevadprognoosiga  6 mln euro võrra 252 mln euroni ning on 4,6% rohkem kui aasta varem. </w:t>
      </w:r>
      <w:r w:rsidRPr="007F2E01">
        <w:rPr>
          <w:rFonts w:eastAsia="Calibri" w:cstheme="minorHAnsi"/>
          <w:b/>
          <w:bCs/>
        </w:rPr>
        <w:t xml:space="preserve">Kuigi selle aasta deklareeritud kogused on olnud eelmisest aastast madalamad tingis prognoosi suurendamise detsembrisse planeeritav </w:t>
      </w:r>
      <w:r>
        <w:rPr>
          <w:rFonts w:eastAsia="Calibri" w:cstheme="minorHAnsi"/>
          <w:b/>
          <w:bCs/>
        </w:rPr>
        <w:t>suurem deklareerimine</w:t>
      </w:r>
      <w:r w:rsidRPr="007F2E01">
        <w:rPr>
          <w:rFonts w:eastAsia="Calibri" w:cstheme="minorHAnsi"/>
        </w:rPr>
        <w:t xml:space="preserve">. Üle mitme aasta tõstetakse </w:t>
      </w:r>
      <w:r>
        <w:rPr>
          <w:rFonts w:eastAsia="Calibri" w:cstheme="minorHAnsi"/>
        </w:rPr>
        <w:t xml:space="preserve">järgneval kolmel aastal </w:t>
      </w:r>
      <w:r w:rsidRPr="007F2E01">
        <w:rPr>
          <w:rFonts w:eastAsia="Calibri" w:cstheme="minorHAnsi"/>
        </w:rPr>
        <w:t>kõikide alkoholiliikide aktsiisimäärasid 5</w:t>
      </w:r>
      <w:r>
        <w:rPr>
          <w:rFonts w:eastAsia="Calibri" w:cstheme="minorHAnsi"/>
        </w:rPr>
        <w:t xml:space="preserve">% </w:t>
      </w:r>
      <w:r w:rsidRPr="007F2E01">
        <w:rPr>
          <w:rFonts w:eastAsia="Calibri" w:cstheme="minorHAnsi"/>
        </w:rPr>
        <w:t>võrra</w:t>
      </w:r>
      <w:r>
        <w:rPr>
          <w:rFonts w:eastAsia="Calibri" w:cstheme="minorHAnsi"/>
        </w:rPr>
        <w:t>. T</w:t>
      </w:r>
      <w:r w:rsidRPr="007F2E01">
        <w:rPr>
          <w:rFonts w:eastAsia="Calibri" w:cstheme="minorHAnsi"/>
        </w:rPr>
        <w:t xml:space="preserve">avapärane praktika on </w:t>
      </w:r>
      <w:r w:rsidRPr="00050ACF">
        <w:rPr>
          <w:rFonts w:eastAsia="Calibri" w:cstheme="minorHAnsi"/>
        </w:rPr>
        <w:t>näidanud varude soetamist tõusule eelneval kuul, mis</w:t>
      </w:r>
      <w:r w:rsidR="00B51BB2" w:rsidRPr="00050ACF">
        <w:rPr>
          <w:rFonts w:eastAsia="Calibri" w:cstheme="minorHAnsi"/>
        </w:rPr>
        <w:t xml:space="preserve"> ka</w:t>
      </w:r>
      <w:r w:rsidRPr="00050ACF">
        <w:rPr>
          <w:rFonts w:eastAsia="Calibri" w:cstheme="minorHAnsi"/>
        </w:rPr>
        <w:t xml:space="preserve"> käesoleva</w:t>
      </w:r>
      <w:r w:rsidRPr="007F2E01">
        <w:rPr>
          <w:rFonts w:eastAsia="Calibri" w:cstheme="minorHAnsi"/>
        </w:rPr>
        <w:t xml:space="preserve"> aasta</w:t>
      </w:r>
      <w:r>
        <w:rPr>
          <w:rFonts w:eastAsia="Calibri" w:cstheme="minorHAnsi"/>
        </w:rPr>
        <w:t xml:space="preserve"> detsembris</w:t>
      </w:r>
      <w:r w:rsidRPr="007F2E01">
        <w:rPr>
          <w:rFonts w:eastAsia="Calibri" w:cstheme="minorHAnsi"/>
        </w:rPr>
        <w:t xml:space="preserve"> tasumisi </w:t>
      </w:r>
      <w:r>
        <w:rPr>
          <w:rFonts w:eastAsia="Calibri" w:cstheme="minorHAnsi"/>
        </w:rPr>
        <w:t>kergitab</w:t>
      </w:r>
      <w:r w:rsidRPr="007F2E01">
        <w:rPr>
          <w:rFonts w:eastAsia="Calibri" w:cstheme="minorHAnsi"/>
        </w:rPr>
        <w:t xml:space="preserve">. </w:t>
      </w:r>
      <w:r w:rsidRPr="007F2E01">
        <w:rPr>
          <w:rFonts w:eastAsia="Calibri" w:cstheme="minorHAnsi"/>
          <w:b/>
          <w:bCs/>
        </w:rPr>
        <w:t>Eelmisel aastal toimunud alkohoolsete jookide hinnakasv jätkub ka sellel aastal, hinnakasv</w:t>
      </w:r>
      <w:r>
        <w:rPr>
          <w:rFonts w:eastAsia="Calibri" w:cstheme="minorHAnsi"/>
          <w:b/>
          <w:bCs/>
        </w:rPr>
        <w:t xml:space="preserve"> on olnud</w:t>
      </w:r>
      <w:r w:rsidRPr="007F2E01">
        <w:rPr>
          <w:rFonts w:eastAsia="Calibri" w:cstheme="minorHAnsi"/>
          <w:b/>
          <w:bCs/>
        </w:rPr>
        <w:t xml:space="preserve"> kiirem mõlemal aastal lahjal alkoholil.</w:t>
      </w:r>
      <w:r w:rsidRPr="007F2E01">
        <w:rPr>
          <w:rFonts w:eastAsia="Calibri" w:cstheme="minorHAnsi"/>
        </w:rPr>
        <w:t xml:space="preserve"> Hinnakasvu prognoosi on </w:t>
      </w:r>
      <w:r>
        <w:rPr>
          <w:rFonts w:eastAsia="Calibri" w:cstheme="minorHAnsi"/>
        </w:rPr>
        <w:t xml:space="preserve">ka </w:t>
      </w:r>
      <w:r w:rsidRPr="007F2E01">
        <w:rPr>
          <w:rFonts w:eastAsia="Calibri" w:cstheme="minorHAnsi"/>
        </w:rPr>
        <w:t xml:space="preserve">võrreldes kevadprognoosiga tõstetud ning </w:t>
      </w:r>
      <w:r>
        <w:rPr>
          <w:rFonts w:eastAsia="Calibri" w:cstheme="minorHAnsi"/>
        </w:rPr>
        <w:t>tänavu</w:t>
      </w:r>
      <w:r w:rsidRPr="007F2E01">
        <w:rPr>
          <w:rFonts w:eastAsia="Calibri" w:cstheme="minorHAnsi"/>
        </w:rPr>
        <w:t xml:space="preserve"> kallinevad alkohoolsed joogid kokku 8,1% võrreldes aasta varasemaga. Aktsiisimäärde tõstmise valguses on oodata ka </w:t>
      </w:r>
      <w:r>
        <w:rPr>
          <w:rFonts w:eastAsia="Calibri" w:cstheme="minorHAnsi"/>
        </w:rPr>
        <w:t>edasistel aastatel</w:t>
      </w:r>
      <w:r w:rsidRPr="007F2E01">
        <w:rPr>
          <w:rFonts w:eastAsia="Calibri" w:cstheme="minorHAnsi"/>
        </w:rPr>
        <w:t xml:space="preserve"> alkoholi hindade kallinemist, mis </w:t>
      </w:r>
      <w:r>
        <w:rPr>
          <w:rFonts w:eastAsia="Calibri" w:cstheme="minorHAnsi"/>
        </w:rPr>
        <w:t>järgmisel</w:t>
      </w:r>
      <w:r w:rsidRPr="007F2E01">
        <w:rPr>
          <w:rFonts w:eastAsia="Calibri" w:cstheme="minorHAnsi"/>
        </w:rPr>
        <w:t xml:space="preserve"> aastal jääb 6,4</w:t>
      </w:r>
      <w:r w:rsidR="00CB1BCE">
        <w:rPr>
          <w:rFonts w:eastAsia="Calibri" w:cstheme="minorHAnsi"/>
        </w:rPr>
        <w:t>%</w:t>
      </w:r>
      <w:r w:rsidRPr="007F2E01">
        <w:rPr>
          <w:rFonts w:eastAsia="Calibri" w:cstheme="minorHAnsi"/>
        </w:rPr>
        <w:t xml:space="preserve"> juurde.</w:t>
      </w:r>
    </w:p>
    <w:p w14:paraId="444C3318" w14:textId="330D1B3D" w:rsidR="00257307" w:rsidRPr="007F2E01" w:rsidRDefault="00257307" w:rsidP="00257307">
      <w:pPr>
        <w:jc w:val="both"/>
        <w:rPr>
          <w:rFonts w:eastAsia="Calibri" w:cstheme="minorHAnsi"/>
        </w:rPr>
      </w:pPr>
      <w:r w:rsidRPr="007F2E01">
        <w:rPr>
          <w:rFonts w:eastAsia="Calibri" w:cstheme="minorHAnsi"/>
          <w:b/>
          <w:bCs/>
        </w:rPr>
        <w:t>Kuigi alkoholi hind suhtena keskmisesse palka on ajas vähenenud,</w:t>
      </w:r>
      <w:r w:rsidRPr="007F2E01">
        <w:rPr>
          <w:rFonts w:eastAsia="Calibri" w:cstheme="minorHAnsi"/>
        </w:rPr>
        <w:t xml:space="preserve"> </w:t>
      </w:r>
      <w:r w:rsidRPr="007F2E01">
        <w:rPr>
          <w:rFonts w:eastAsia="Calibri" w:cstheme="minorHAnsi"/>
          <w:b/>
          <w:bCs/>
        </w:rPr>
        <w:t xml:space="preserve">reageerivad tarbijad </w:t>
      </w:r>
      <w:r>
        <w:rPr>
          <w:rFonts w:eastAsia="Calibri" w:cstheme="minorHAnsi"/>
          <w:b/>
          <w:bCs/>
        </w:rPr>
        <w:t>vabade rahaliste vahendite</w:t>
      </w:r>
      <w:r w:rsidRPr="007F2E01">
        <w:rPr>
          <w:rFonts w:eastAsia="Calibri" w:cstheme="minorHAnsi"/>
          <w:b/>
          <w:bCs/>
        </w:rPr>
        <w:t xml:space="preserve"> vähenemisel ja hindade kasvu </w:t>
      </w:r>
      <w:r w:rsidRPr="007F2E01">
        <w:rPr>
          <w:rFonts w:eastAsia="Calibri" w:cstheme="minorHAnsi"/>
          <w:b/>
          <w:bCs/>
        </w:rPr>
        <w:lastRenderedPageBreak/>
        <w:t>valguses tarbimise piiramisega</w:t>
      </w:r>
      <w:r w:rsidRPr="007F2E01">
        <w:rPr>
          <w:rFonts w:eastAsia="Calibri" w:cstheme="minorHAnsi"/>
        </w:rPr>
        <w:t xml:space="preserve">. Siseriiklikult on oodata alkoholi tarbimise vähenemist rohkem kui kevadprognoosis ning seda peamiselt suvekuude oluliselt tagasihoidlikumast deklareerimisest. Prognoosi vähendamise </w:t>
      </w:r>
      <w:r>
        <w:rPr>
          <w:rFonts w:eastAsia="Calibri" w:cstheme="minorHAnsi"/>
        </w:rPr>
        <w:t>teine põhjus peitub</w:t>
      </w:r>
      <w:r w:rsidRPr="007F2E01">
        <w:rPr>
          <w:rFonts w:eastAsia="Calibri" w:cstheme="minorHAnsi"/>
        </w:rPr>
        <w:t xml:space="preserve"> turistide </w:t>
      </w:r>
      <w:r w:rsidRPr="00050ACF">
        <w:rPr>
          <w:rFonts w:eastAsia="Calibri" w:cstheme="minorHAnsi"/>
        </w:rPr>
        <w:t xml:space="preserve">ostude madalas tasemes, mida põhjapiiril </w:t>
      </w:r>
      <w:r w:rsidR="00B51BB2" w:rsidRPr="00050ACF">
        <w:rPr>
          <w:rFonts w:eastAsia="Calibri" w:cstheme="minorHAnsi"/>
        </w:rPr>
        <w:t>mõjutab</w:t>
      </w:r>
      <w:r w:rsidR="00B51BB2">
        <w:rPr>
          <w:rFonts w:eastAsia="Calibri" w:cstheme="minorHAnsi"/>
        </w:rPr>
        <w:t xml:space="preserve"> </w:t>
      </w:r>
      <w:r w:rsidRPr="007F2E01">
        <w:rPr>
          <w:rFonts w:eastAsia="Calibri" w:cstheme="minorHAnsi"/>
        </w:rPr>
        <w:t xml:space="preserve">eelkõige soomlaste hoogustunud piirikaubandus Rootsi suunal. Teise poolaasta prognoos </w:t>
      </w:r>
      <w:r>
        <w:rPr>
          <w:rFonts w:eastAsia="Calibri" w:cstheme="minorHAnsi"/>
        </w:rPr>
        <w:t>jätkab</w:t>
      </w:r>
      <w:r w:rsidRPr="007F2E01">
        <w:rPr>
          <w:rFonts w:eastAsia="Calibri" w:cstheme="minorHAnsi"/>
        </w:rPr>
        <w:t xml:space="preserve"> viimaste kuude </w:t>
      </w:r>
      <w:r>
        <w:rPr>
          <w:rFonts w:eastAsia="Calibri" w:cstheme="minorHAnsi"/>
        </w:rPr>
        <w:t>trendi</w:t>
      </w:r>
      <w:r w:rsidRPr="007F2E01">
        <w:rPr>
          <w:rFonts w:eastAsia="Calibri" w:cstheme="minorHAnsi"/>
        </w:rPr>
        <w:t xml:space="preserve"> ning </w:t>
      </w:r>
      <w:r>
        <w:rPr>
          <w:rFonts w:eastAsia="Calibri" w:cstheme="minorHAnsi"/>
        </w:rPr>
        <w:t>kange alkoholi ja õlle deklareeritud kogused vähenevad võrreldes eelmise aastaga, mõlemal juhul 1,8%</w:t>
      </w:r>
      <w:r w:rsidRPr="007F2E01">
        <w:rPr>
          <w:rFonts w:eastAsia="Calibri" w:cstheme="minorHAnsi"/>
        </w:rPr>
        <w:t>.</w:t>
      </w:r>
    </w:p>
    <w:p w14:paraId="3A5101F3" w14:textId="18DABA6B" w:rsidR="00257307" w:rsidRPr="007F2E01" w:rsidRDefault="00257307" w:rsidP="00257307">
      <w:pPr>
        <w:jc w:val="both"/>
        <w:rPr>
          <w:rFonts w:eastAsia="Calibri" w:cstheme="minorHAnsi"/>
        </w:rPr>
      </w:pPr>
      <w:r w:rsidRPr="007F2E01">
        <w:rPr>
          <w:rFonts w:eastAsia="Calibri" w:cstheme="minorHAnsi"/>
        </w:rPr>
        <w:t>Alates järgmisest aastast on tulenevalt aktsiisimäärade tõstmisest oodata tasumiste kasve, mis  on perioodil 2024–2027 keskmiselt 4,5% aastas.</w:t>
      </w:r>
      <w:r>
        <w:rPr>
          <w:rFonts w:eastAsia="Calibri" w:cstheme="minorHAnsi"/>
        </w:rPr>
        <w:t xml:space="preserve"> Mahtudes seevastu aastast aastasse suuri muutusi ei ole prognoositud.</w:t>
      </w:r>
    </w:p>
    <w:p w14:paraId="50C4A623" w14:textId="01C1ECFE" w:rsidR="00257307" w:rsidRPr="007F2E01" w:rsidRDefault="00257307" w:rsidP="00257307">
      <w:pPr>
        <w:jc w:val="both"/>
        <w:rPr>
          <w:rFonts w:eastAsia="Calibri" w:cstheme="minorHAnsi"/>
          <w:highlight w:val="yellow"/>
        </w:rPr>
      </w:pPr>
      <w:r w:rsidRPr="007F2E01">
        <w:rPr>
          <w:rFonts w:eastAsia="Calibri" w:cstheme="minorHAnsi"/>
          <w:b/>
          <w:bCs/>
        </w:rPr>
        <w:t xml:space="preserve">Tubakaaktsiisi tasumised I poolaastal peegeldavad olulisi muutusi tubakaturul, kus alternatiivsete tubakatoodete kasvud </w:t>
      </w:r>
      <w:r>
        <w:rPr>
          <w:rFonts w:eastAsia="Calibri" w:cstheme="minorHAnsi"/>
          <w:b/>
          <w:bCs/>
        </w:rPr>
        <w:t>mõjutavad üha rohkem</w:t>
      </w:r>
      <w:r w:rsidRPr="007F2E01">
        <w:rPr>
          <w:rFonts w:eastAsia="Calibri" w:cstheme="minorHAnsi"/>
          <w:b/>
          <w:bCs/>
        </w:rPr>
        <w:t xml:space="preserve"> sigarettide koguseid. </w:t>
      </w:r>
      <w:r w:rsidRPr="007F2E01">
        <w:rPr>
          <w:rFonts w:cstheme="minorHAnsi"/>
        </w:rPr>
        <w:t>2023. aasta</w:t>
      </w:r>
      <w:r w:rsidRPr="007F2E01">
        <w:rPr>
          <w:rFonts w:cstheme="minorHAnsi"/>
          <w:b/>
        </w:rPr>
        <w:t xml:space="preserve"> </w:t>
      </w:r>
      <w:r w:rsidRPr="007F2E01">
        <w:rPr>
          <w:rFonts w:cstheme="minorHAnsi"/>
        </w:rPr>
        <w:t xml:space="preserve">tasumise prognoos kahaneb võrreldes kevadprognoosiga marginaalselt ning aasta lõpuks on oodata 3,5% tasumiste kasvu võrreldes aasta varasemaga. </w:t>
      </w:r>
      <w:r w:rsidRPr="007F2E01">
        <w:rPr>
          <w:rFonts w:eastAsia="Calibri" w:cstheme="minorHAnsi"/>
        </w:rPr>
        <w:t>Suurenemise taga on mitme tubakatoote aktsiisimäära tõstmised ning alternatiivsete tubakatoodete jätkuv jõuline kasv, lisaks taastus aasta alguses tubakavedelikelt aktsiisi kogumine. Prognoosi tuli alla poole korrigeerida eelkõige I poolaasta oodatust madalamate tasumiste tõttu, mille põhjustas sigarettide prognoositust kiirem langus. Sellega seoses on sellel aastal oodata sigarettide deklareerimise 5,7% vähenemist võrreldes aasta varasemaga.</w:t>
      </w:r>
    </w:p>
    <w:p w14:paraId="232664E8" w14:textId="47025164" w:rsidR="00257307" w:rsidRPr="00705AE5" w:rsidRDefault="00257307" w:rsidP="00257307">
      <w:pPr>
        <w:jc w:val="both"/>
        <w:rPr>
          <w:rFonts w:eastAsia="Calibri" w:cstheme="minorHAnsi"/>
          <w:highlight w:val="yellow"/>
        </w:rPr>
      </w:pPr>
      <w:r w:rsidRPr="007F2E01">
        <w:rPr>
          <w:rFonts w:eastAsia="Calibri" w:cstheme="minorHAnsi"/>
          <w:b/>
          <w:bCs/>
        </w:rPr>
        <w:t>Hoolimata sellest, et alternatiivsete tubakatoodetel on oodata</w:t>
      </w:r>
      <w:r>
        <w:rPr>
          <w:rFonts w:eastAsia="Calibri" w:cstheme="minorHAnsi"/>
          <w:b/>
          <w:bCs/>
        </w:rPr>
        <w:t xml:space="preserve"> järgmistel aastatel</w:t>
      </w:r>
      <w:r w:rsidRPr="007F2E01">
        <w:rPr>
          <w:rFonts w:eastAsia="Calibri" w:cstheme="minorHAnsi"/>
          <w:b/>
          <w:bCs/>
        </w:rPr>
        <w:t xml:space="preserve"> eratarbimise reaalkasvust kiiremaid kasve, dikteerib endiselt sigarettide laekumine üle 90% tubakaaktsiisi laekumisest ning kuna sigarettide tarbimisel on vähenev trend, siis </w:t>
      </w:r>
      <w:r>
        <w:rPr>
          <w:rFonts w:eastAsia="Calibri" w:cstheme="minorHAnsi"/>
          <w:b/>
          <w:bCs/>
        </w:rPr>
        <w:t xml:space="preserve">tubakaaktsiisi </w:t>
      </w:r>
      <w:r w:rsidRPr="007F2E01">
        <w:rPr>
          <w:rFonts w:eastAsia="Calibri" w:cstheme="minorHAnsi"/>
          <w:b/>
          <w:bCs/>
        </w:rPr>
        <w:t>kasvud püsivad marginaalsed ja seda vaid aktsiisimäärade tõstmisest tulenevalt.</w:t>
      </w:r>
      <w:r w:rsidRPr="007F2E01">
        <w:rPr>
          <w:rFonts w:eastAsia="Calibri" w:cstheme="minorHAnsi"/>
        </w:rPr>
        <w:t xml:space="preserve"> </w:t>
      </w:r>
      <w:r>
        <w:rPr>
          <w:rFonts w:eastAsia="Calibri" w:cstheme="minorHAnsi"/>
        </w:rPr>
        <w:t>Järgmisel</w:t>
      </w:r>
      <w:r w:rsidRPr="007F2E01">
        <w:rPr>
          <w:rFonts w:eastAsia="Calibri" w:cstheme="minorHAnsi"/>
        </w:rPr>
        <w:t xml:space="preserve"> aast</w:t>
      </w:r>
      <w:r>
        <w:rPr>
          <w:rFonts w:eastAsia="Calibri" w:cstheme="minorHAnsi"/>
        </w:rPr>
        <w:t>al</w:t>
      </w:r>
      <w:r w:rsidRPr="007F2E01">
        <w:rPr>
          <w:rFonts w:eastAsia="Calibri" w:cstheme="minorHAnsi"/>
        </w:rPr>
        <w:t xml:space="preserve"> on oodata tubakaaktsiisi tasumiste vähenemist 0,4</w:t>
      </w:r>
      <w:r>
        <w:rPr>
          <w:rFonts w:eastAsia="Calibri" w:cstheme="minorHAnsi"/>
        </w:rPr>
        <w:t xml:space="preserve">% </w:t>
      </w:r>
      <w:r w:rsidRPr="007F2E01">
        <w:rPr>
          <w:rFonts w:eastAsia="Calibri" w:cstheme="minorHAnsi"/>
        </w:rPr>
        <w:t>võrreldes tänavuse aastaga. Prognoosi kohaselt jätkub tubakaturu  struktuurne muutus – sigarettide mahud vähenevad rohkem kui</w:t>
      </w:r>
      <w:r>
        <w:rPr>
          <w:rFonts w:eastAsia="Calibri" w:cstheme="minorHAnsi"/>
        </w:rPr>
        <w:t xml:space="preserve"> on</w:t>
      </w:r>
      <w:r w:rsidRPr="007F2E01">
        <w:rPr>
          <w:rFonts w:eastAsia="Calibri" w:cstheme="minorHAnsi"/>
        </w:rPr>
        <w:t xml:space="preserve"> aktsiisimäära</w:t>
      </w:r>
      <w:r>
        <w:rPr>
          <w:rFonts w:eastAsia="Calibri" w:cstheme="minorHAnsi"/>
        </w:rPr>
        <w:t xml:space="preserve"> tõus</w:t>
      </w:r>
      <w:r w:rsidRPr="007F2E01">
        <w:rPr>
          <w:rFonts w:eastAsia="Calibri" w:cstheme="minorHAnsi"/>
        </w:rPr>
        <w:t xml:space="preserve">. Edasistel aastatel tubakaturg stabiliseerub ning muutused kategooriate lõikes ei ole nii drastilised ning perioodil 2025–2027 suureneb tubakaaktsiisi laekumine aastas keskmiselt </w:t>
      </w:r>
      <w:r w:rsidRPr="007F2E01">
        <w:rPr>
          <w:rFonts w:eastAsia="Calibri" w:cstheme="minorHAnsi"/>
        </w:rPr>
        <w:t>0,8%</w:t>
      </w:r>
      <w:r>
        <w:rPr>
          <w:rFonts w:eastAsia="Calibri" w:cstheme="minorHAnsi"/>
        </w:rPr>
        <w:t>, mida toetab ka 5% aktsiisimäärade tõus järgmisel kolmel aastal.</w:t>
      </w:r>
    </w:p>
    <w:p w14:paraId="12F9EA1B" w14:textId="3EF93D2C" w:rsidR="00257307" w:rsidRPr="007F2E01" w:rsidRDefault="00257307" w:rsidP="00257307">
      <w:pPr>
        <w:jc w:val="both"/>
        <w:rPr>
          <w:rFonts w:eastAsia="Calibri" w:cstheme="minorHAnsi"/>
        </w:rPr>
      </w:pPr>
      <w:r w:rsidRPr="007F2E01">
        <w:rPr>
          <w:rFonts w:eastAsia="Calibri" w:cstheme="minorHAnsi"/>
          <w:b/>
          <w:bCs/>
        </w:rPr>
        <w:t xml:space="preserve">Kütuseaktsiisi tasumisi on võrreldes kevadprognoosiga prognoosiperioodiks oluliselt alla poole korrigeeritud ning </w:t>
      </w:r>
      <w:r>
        <w:rPr>
          <w:rFonts w:eastAsia="Calibri" w:cstheme="minorHAnsi"/>
          <w:b/>
          <w:bCs/>
        </w:rPr>
        <w:t xml:space="preserve">selle tingis ajutiselt vähendatud </w:t>
      </w:r>
      <w:r w:rsidRPr="007F2E01">
        <w:rPr>
          <w:rFonts w:eastAsia="Calibri" w:cstheme="minorHAnsi"/>
          <w:b/>
          <w:bCs/>
        </w:rPr>
        <w:t xml:space="preserve">eriotstarbelise diislikütuse aktsiisimäära püsivaks </w:t>
      </w:r>
      <w:r>
        <w:rPr>
          <w:rFonts w:eastAsia="Calibri" w:cstheme="minorHAnsi"/>
          <w:b/>
          <w:bCs/>
        </w:rPr>
        <w:t>muutmine</w:t>
      </w:r>
      <w:r w:rsidRPr="007F2E01">
        <w:rPr>
          <w:rFonts w:eastAsia="Calibri" w:cstheme="minorHAnsi"/>
          <w:b/>
          <w:bCs/>
        </w:rPr>
        <w:t>.</w:t>
      </w:r>
      <w:r w:rsidRPr="007F2E01">
        <w:rPr>
          <w:rFonts w:eastAsia="Calibri" w:cstheme="minorHAnsi"/>
        </w:rPr>
        <w:t xml:space="preserve"> Euroopa miinimummäära jätkamise tõttu jääb riigil järgmise nelja aasta jooksul kogumata 31 mln aktsiisi</w:t>
      </w:r>
      <w:r>
        <w:rPr>
          <w:rFonts w:eastAsia="Calibri" w:cstheme="minorHAnsi"/>
        </w:rPr>
        <w:t>tulu</w:t>
      </w:r>
      <w:r w:rsidRPr="007F2E01">
        <w:rPr>
          <w:rFonts w:eastAsia="Calibri" w:cstheme="minorHAnsi"/>
        </w:rPr>
        <w:t>.</w:t>
      </w:r>
    </w:p>
    <w:p w14:paraId="1896CEC6" w14:textId="4C34F162" w:rsidR="00257307" w:rsidRPr="007F2E01" w:rsidRDefault="00257307" w:rsidP="00257307">
      <w:pPr>
        <w:jc w:val="both"/>
        <w:rPr>
          <w:rFonts w:eastAsia="Calibri" w:cstheme="minorHAnsi"/>
        </w:rPr>
      </w:pPr>
      <w:r w:rsidRPr="007F2E01">
        <w:rPr>
          <w:rFonts w:eastAsia="Calibri" w:cstheme="minorHAnsi"/>
        </w:rPr>
        <w:t xml:space="preserve">Käesolevaks aastaks on kütuseaktsiisi tasumiseks prognoositud 489 mln eurot, mis on 2,3% vähem kui aasta varem ning kevadprognoosiga võrreldes 4 mln eurot vähem. Aasta esimeses pooles on mootorikütuste jaemüük olnud pigem oodatust parem ning seda toetab nii eratarbimise reaalkasvu prognoosi paranemine kui ka naftahinna kiirem langus võrreldes kevadel prognoosituga. </w:t>
      </w:r>
      <w:r w:rsidRPr="007F2E01">
        <w:rPr>
          <w:rFonts w:eastAsia="Calibri" w:cstheme="minorHAnsi"/>
          <w:b/>
          <w:bCs/>
        </w:rPr>
        <w:t xml:space="preserve">Paraku hindade vähenemine ei too kaasa mootorikütuste mahtude suurenemist, sest diislikütuse hulgimüük on töötleva tööstuse kesiste väljavaadete tõttu languses ning mõõdukat paranemist on oodata alles järgmisel aastal. </w:t>
      </w:r>
      <w:r w:rsidRPr="007F2E01">
        <w:rPr>
          <w:rFonts w:eastAsia="Calibri" w:cstheme="minorHAnsi"/>
        </w:rPr>
        <w:t>Transpordisektor ei toeta samuti mahtude suurenemist, kuna kindlustunne püsib endiselt madala ning väljakutseks on vähenenud nõudlus. Aasta kokkuvõttes prognoosime, et bensiini deklareerimine kahaneb sellel aastal 0,6% ja diislikütuse langus jääb 2% juurde.</w:t>
      </w:r>
    </w:p>
    <w:p w14:paraId="6C8747E9" w14:textId="261D134C" w:rsidR="00257307" w:rsidRPr="007F2E01" w:rsidRDefault="00257307" w:rsidP="00257307">
      <w:pPr>
        <w:jc w:val="both"/>
        <w:rPr>
          <w:rFonts w:eastAsia="Calibri" w:cstheme="minorHAnsi"/>
        </w:rPr>
      </w:pPr>
      <w:r w:rsidRPr="007F2E01">
        <w:rPr>
          <w:rFonts w:eastAsia="Calibri" w:cstheme="minorHAnsi"/>
          <w:b/>
          <w:bCs/>
        </w:rPr>
        <w:t>Prognoosikohaselt rekordkõrged energiahinnad enam ei kordu</w:t>
      </w:r>
      <w:r>
        <w:rPr>
          <w:rFonts w:eastAsia="Calibri" w:cstheme="minorHAnsi"/>
          <w:b/>
          <w:bCs/>
        </w:rPr>
        <w:t xml:space="preserve">, kuid </w:t>
      </w:r>
      <w:r w:rsidRPr="007F2E01">
        <w:rPr>
          <w:rFonts w:eastAsia="Calibri" w:cstheme="minorHAnsi"/>
          <w:b/>
          <w:bCs/>
        </w:rPr>
        <w:t xml:space="preserve">tarbimises </w:t>
      </w:r>
      <w:r>
        <w:rPr>
          <w:rFonts w:eastAsia="Calibri" w:cstheme="minorHAnsi"/>
          <w:b/>
          <w:bCs/>
        </w:rPr>
        <w:t>on</w:t>
      </w:r>
      <w:r w:rsidRPr="007F2E01">
        <w:rPr>
          <w:rFonts w:eastAsia="Calibri" w:cstheme="minorHAnsi"/>
          <w:b/>
          <w:bCs/>
        </w:rPr>
        <w:t xml:space="preserve"> vähenemine</w:t>
      </w:r>
      <w:r>
        <w:rPr>
          <w:rFonts w:eastAsia="Calibri" w:cstheme="minorHAnsi"/>
          <w:b/>
          <w:bCs/>
        </w:rPr>
        <w:t xml:space="preserve"> </w:t>
      </w:r>
      <w:r w:rsidRPr="007F2E01">
        <w:rPr>
          <w:rFonts w:eastAsia="Calibri" w:cstheme="minorHAnsi"/>
          <w:b/>
          <w:bCs/>
        </w:rPr>
        <w:t>jätkunud nii maagaasi</w:t>
      </w:r>
      <w:r>
        <w:rPr>
          <w:rFonts w:eastAsia="Calibri" w:cstheme="minorHAnsi"/>
          <w:b/>
          <w:bCs/>
        </w:rPr>
        <w:t>l</w:t>
      </w:r>
      <w:r w:rsidRPr="007F2E01">
        <w:rPr>
          <w:rFonts w:eastAsia="Calibri" w:cstheme="minorHAnsi"/>
          <w:b/>
          <w:bCs/>
        </w:rPr>
        <w:t xml:space="preserve"> kui elektrienergia</w:t>
      </w:r>
      <w:r>
        <w:rPr>
          <w:rFonts w:eastAsia="Calibri" w:cstheme="minorHAnsi"/>
          <w:b/>
          <w:bCs/>
        </w:rPr>
        <w:t>l.</w:t>
      </w:r>
      <w:r w:rsidRPr="007F2E01">
        <w:rPr>
          <w:rFonts w:eastAsia="Calibri" w:cstheme="minorHAnsi"/>
          <w:b/>
          <w:bCs/>
        </w:rPr>
        <w:t xml:space="preserve"> Üldiselt on tarbimise vähenemise taga peamiselt kokkuhoid. </w:t>
      </w:r>
      <w:r w:rsidRPr="007F2E01">
        <w:rPr>
          <w:rFonts w:eastAsia="Calibri" w:cstheme="minorHAnsi"/>
        </w:rPr>
        <w:t>Maagaasi tarbimine vähenes eelmisel aastal oluliselt ning vähenemine jätkub ka sellel aastal, kuid perioodil 2024-2027 on oodata maagaasi aastaseks tarbimise kasvuks keskmiselt 1,8%.</w:t>
      </w:r>
    </w:p>
    <w:p w14:paraId="3BD03AF7" w14:textId="0F0AE6C5" w:rsidR="00355528" w:rsidRPr="00414819" w:rsidRDefault="00257307" w:rsidP="00722B88">
      <w:pPr>
        <w:jc w:val="both"/>
        <w:rPr>
          <w:i/>
          <w:highlight w:val="yellow"/>
        </w:rPr>
      </w:pPr>
      <w:r w:rsidRPr="007F2E01">
        <w:rPr>
          <w:rFonts w:eastAsia="Calibri" w:cstheme="minorHAnsi"/>
          <w:b/>
          <w:bCs/>
        </w:rPr>
        <w:t>Järgmise</w:t>
      </w:r>
      <w:r>
        <w:rPr>
          <w:rFonts w:eastAsia="Calibri" w:cstheme="minorHAnsi"/>
          <w:b/>
          <w:bCs/>
        </w:rPr>
        <w:t>st aastast algab</w:t>
      </w:r>
      <w:r w:rsidRPr="007F2E01">
        <w:rPr>
          <w:rFonts w:eastAsia="Calibri" w:cstheme="minorHAnsi"/>
          <w:b/>
          <w:bCs/>
        </w:rPr>
        <w:t xml:space="preserve"> mitme kütuseliigi aktsiisimäära</w:t>
      </w:r>
      <w:r>
        <w:rPr>
          <w:rFonts w:eastAsia="Calibri" w:cstheme="minorHAnsi"/>
          <w:b/>
          <w:bCs/>
        </w:rPr>
        <w:t xml:space="preserve"> järkjärguline</w:t>
      </w:r>
      <w:r w:rsidRPr="007F2E01">
        <w:rPr>
          <w:rFonts w:eastAsia="Calibri" w:cstheme="minorHAnsi"/>
          <w:b/>
          <w:bCs/>
        </w:rPr>
        <w:t xml:space="preserve"> tõstmine</w:t>
      </w:r>
      <w:r w:rsidRPr="007F2E01">
        <w:rPr>
          <w:rFonts w:eastAsia="Calibri" w:cstheme="minorHAnsi"/>
        </w:rPr>
        <w:t>, millest suurima kaaluga on diislikütus</w:t>
      </w:r>
      <w:r>
        <w:rPr>
          <w:rFonts w:eastAsia="Calibri" w:cstheme="minorHAnsi"/>
        </w:rPr>
        <w:t xml:space="preserve"> ning</w:t>
      </w:r>
      <w:r w:rsidRPr="007F2E01">
        <w:rPr>
          <w:rFonts w:eastAsia="Calibri" w:cstheme="minorHAnsi"/>
        </w:rPr>
        <w:t xml:space="preserve"> mille määr tõuseb järgmise nelja aasta jooksul keskmiselt 7% aastas. Aktsiisimäära tõustes on prognoosi kohaselt mõju ka piiriülese tankimise kasvule, mille peamine mõju avaldub </w:t>
      </w:r>
      <w:r>
        <w:rPr>
          <w:rFonts w:eastAsia="Calibri" w:cstheme="minorHAnsi"/>
        </w:rPr>
        <w:t xml:space="preserve">aastal </w:t>
      </w:r>
      <w:r w:rsidRPr="007F2E01">
        <w:rPr>
          <w:rFonts w:eastAsia="Calibri" w:cstheme="minorHAnsi"/>
        </w:rPr>
        <w:t>2025, mil määr tõuseb Läti aktsiisimäärast kõrgemaks. Perioodil 2024–2027 kasvab kütuseaktsiisi tasumine keskmiselt 6,2% aastas.</w:t>
      </w:r>
      <w:bookmarkStart w:id="101" w:name="_Hlk99731700"/>
      <w:bookmarkEnd w:id="81"/>
      <w:r w:rsidR="00355528" w:rsidRPr="00414819">
        <w:rPr>
          <w:highlight w:val="yellow"/>
        </w:rPr>
        <w:br w:type="page"/>
      </w:r>
    </w:p>
    <w:p w14:paraId="3F454978" w14:textId="556E4345" w:rsidR="00355528" w:rsidRPr="00414819" w:rsidRDefault="00355528" w:rsidP="007451D5">
      <w:pPr>
        <w:pStyle w:val="Alapunkt"/>
        <w:rPr>
          <w:highlight w:val="yellow"/>
        </w:rPr>
        <w:sectPr w:rsidR="00355528" w:rsidRPr="00414819" w:rsidSect="00E015FB">
          <w:endnotePr>
            <w:numFmt w:val="decimal"/>
          </w:endnotePr>
          <w:type w:val="continuous"/>
          <w:pgSz w:w="11906" w:h="16838"/>
          <w:pgMar w:top="964" w:right="964" w:bottom="964" w:left="964" w:header="709" w:footer="709" w:gutter="0"/>
          <w:cols w:num="2" w:space="708"/>
          <w:docGrid w:linePitch="360"/>
        </w:sectPr>
      </w:pPr>
    </w:p>
    <w:p w14:paraId="44C8EDF0" w14:textId="3531EC83" w:rsidR="00C74FB5" w:rsidRPr="007D5584" w:rsidRDefault="00C74FB5" w:rsidP="00C74FB5">
      <w:pPr>
        <w:pStyle w:val="Heading3"/>
        <w:rPr>
          <w:rStyle w:val="longtext"/>
        </w:rPr>
        <w:sectPr w:rsidR="00C74FB5" w:rsidRPr="007D5584" w:rsidSect="00C74FB5">
          <w:footerReference w:type="default" r:id="rId37"/>
          <w:footerReference w:type="first" r:id="rId38"/>
          <w:endnotePr>
            <w:numFmt w:val="decimal"/>
          </w:endnotePr>
          <w:type w:val="continuous"/>
          <w:pgSz w:w="11906" w:h="16838"/>
          <w:pgMar w:top="964" w:right="964" w:bottom="964" w:left="964" w:header="709" w:footer="709" w:gutter="0"/>
          <w:cols w:space="708"/>
          <w:docGrid w:linePitch="360"/>
        </w:sectPr>
      </w:pPr>
      <w:bookmarkStart w:id="102" w:name="_Hlk99462643"/>
      <w:bookmarkStart w:id="103" w:name="_Ref81915444"/>
      <w:bookmarkStart w:id="104" w:name="_Toc18917270"/>
      <w:bookmarkStart w:id="105" w:name="_Toc62631840"/>
      <w:bookmarkStart w:id="106" w:name="_Toc64504565"/>
      <w:bookmarkStart w:id="107" w:name="_Toc143775504"/>
      <w:bookmarkEnd w:id="102"/>
      <w:r w:rsidRPr="007D5584">
        <w:rPr>
          <w:rStyle w:val="longtext"/>
        </w:rPr>
        <w:lastRenderedPageBreak/>
        <w:t>Maksukoormus</w:t>
      </w:r>
      <w:r w:rsidR="001A196F" w:rsidRPr="007D5584">
        <w:rPr>
          <w:rStyle w:val="longtext"/>
        </w:rPr>
        <w:t xml:space="preserve"> ja efektiivne maksumäär</w:t>
      </w:r>
      <w:bookmarkEnd w:id="107"/>
    </w:p>
    <w:p w14:paraId="026F6D38" w14:textId="372D1150" w:rsidR="001A196F" w:rsidRPr="00050ACF" w:rsidRDefault="007D5584" w:rsidP="001A196F">
      <w:pPr>
        <w:pStyle w:val="Alapunkt"/>
        <w:rPr>
          <w:b/>
        </w:rPr>
        <w:sectPr w:rsidR="001A196F" w:rsidRPr="00050ACF" w:rsidSect="001A196F">
          <w:endnotePr>
            <w:numFmt w:val="decimal"/>
          </w:endnotePr>
          <w:type w:val="continuous"/>
          <w:pgSz w:w="11906" w:h="16838"/>
          <w:pgMar w:top="964" w:right="964" w:bottom="964" w:left="964" w:header="709" w:footer="709" w:gutter="0"/>
          <w:cols w:space="708"/>
          <w:docGrid w:linePitch="360"/>
        </w:sectPr>
      </w:pPr>
      <w:bookmarkStart w:id="108" w:name="_Hlk143511703"/>
      <w:r w:rsidRPr="00050ACF">
        <w:t>Maksukoormus</w:t>
      </w:r>
      <w:r w:rsidR="007F425B" w:rsidRPr="00050ACF">
        <w:t xml:space="preserve"> </w:t>
      </w:r>
      <w:bookmarkStart w:id="109" w:name="_Hlk143534256"/>
      <w:r w:rsidR="007F425B" w:rsidRPr="00050ACF">
        <w:t xml:space="preserve">suureneb võrreldes kevadprognoosiga maksutõusude </w:t>
      </w:r>
      <w:bookmarkEnd w:id="109"/>
      <w:r w:rsidR="007F425B" w:rsidRPr="00050ACF">
        <w:t>tõttu</w:t>
      </w:r>
      <w:r w:rsidR="00AF4381" w:rsidRPr="00050ACF">
        <w:t>.</w:t>
      </w:r>
    </w:p>
    <w:bookmarkEnd w:id="108"/>
    <w:p w14:paraId="2D84A428" w14:textId="77777777" w:rsidR="007D5584" w:rsidRPr="001F5122" w:rsidRDefault="007D5584" w:rsidP="007D5584">
      <w:pPr>
        <w:pStyle w:val="Phitekst"/>
        <w:rPr>
          <w:rStyle w:val="Strong"/>
          <w:b w:val="0"/>
        </w:rPr>
      </w:pPr>
      <w:r w:rsidRPr="001F5122">
        <w:rPr>
          <w:rStyle w:val="Strong"/>
        </w:rPr>
        <w:t>Maksukoormus on oluliselt madalam kui Euroopa Liidu keskmine</w:t>
      </w:r>
    </w:p>
    <w:p w14:paraId="549A706A" w14:textId="77777777" w:rsidR="007D5584" w:rsidRPr="00FD2EB6" w:rsidRDefault="007D5584" w:rsidP="007D5584">
      <w:pPr>
        <w:pStyle w:val="Phitekst"/>
      </w:pPr>
      <w:bookmarkStart w:id="110" w:name="_Hlk131003725"/>
      <w:r w:rsidRPr="00FD2EB6">
        <w:t>Eesti üheks maksupoliitiliseks eesmärgiks on olnud maksude osalise ümberorienteerimise abil nihutada maksukoormus tulu maksustamiselt tarbimise, loodusvarade kasutamise ja keskkonna saastamise maksustamisele. Samas hoitakse süsteem stabiilse, lihtsa ja läbipaistvana, võimalikult väheste erandite ja erisustega.</w:t>
      </w:r>
    </w:p>
    <w:p w14:paraId="43D78333" w14:textId="79BE3D25" w:rsidR="007D5584" w:rsidRPr="00917E4C" w:rsidRDefault="007D5584" w:rsidP="007D5584">
      <w:pPr>
        <w:pStyle w:val="Phitekst"/>
      </w:pPr>
      <w:r w:rsidRPr="00917E4C">
        <w:t>Eesti maksukoormus oli 2021. aastal 33,</w:t>
      </w:r>
      <w:r>
        <w:t>8</w:t>
      </w:r>
      <w:r w:rsidRPr="00917E4C">
        <w:t xml:space="preserve">% SKPst, mis oli Euroopa Liidu keskmisest </w:t>
      </w:r>
      <w:r>
        <w:t>(40,7% SKPst) 6,9</w:t>
      </w:r>
      <w:r w:rsidR="00CB1BCE">
        <w:t>%</w:t>
      </w:r>
      <w:r w:rsidRPr="00917E4C">
        <w:t xml:space="preserve"> võrra madalam. Pensionisüsteemi teise samba väljamaksetelt laekunud tulumaks suurendas sel aastal maksukoormust 1,1</w:t>
      </w:r>
      <w:r w:rsidR="00CB1BCE">
        <w:t>%</w:t>
      </w:r>
      <w:r w:rsidRPr="00917E4C">
        <w:t xml:space="preserve"> võrra.</w:t>
      </w:r>
    </w:p>
    <w:p w14:paraId="3DD11C8F" w14:textId="77777777" w:rsidR="007D5584" w:rsidRPr="00EE1E4E" w:rsidRDefault="007D5584" w:rsidP="007D5584">
      <w:pPr>
        <w:pStyle w:val="Phitekst"/>
        <w:rPr>
          <w:rStyle w:val="Strong"/>
          <w:b w:val="0"/>
        </w:rPr>
      </w:pPr>
      <w:bookmarkStart w:id="111" w:name="_Ref112108623"/>
      <w:bookmarkStart w:id="112" w:name="_Toc112147572"/>
      <w:bookmarkEnd w:id="110"/>
      <w:r w:rsidRPr="00917E4C">
        <w:rPr>
          <w:rStyle w:val="Strong"/>
        </w:rPr>
        <w:t xml:space="preserve">Maksukoormus langeb 2027. </w:t>
      </w:r>
      <w:r w:rsidRPr="009D1239">
        <w:rPr>
          <w:rStyle w:val="Strong"/>
        </w:rPr>
        <w:t>aastaks 32,7%le SKPst</w:t>
      </w:r>
    </w:p>
    <w:p w14:paraId="1A417C68" w14:textId="77777777" w:rsidR="007D5584" w:rsidRDefault="007D5584" w:rsidP="007D5584">
      <w:pPr>
        <w:pStyle w:val="Phitekst"/>
      </w:pPr>
      <w:r w:rsidRPr="00917E4C">
        <w:t xml:space="preserve">2023. aasta maksukoormuseks kujuneb suveprognoosi </w:t>
      </w:r>
      <w:r w:rsidRPr="005D0B0C">
        <w:t>kohaselt 33,3%</w:t>
      </w:r>
      <w:r>
        <w:t xml:space="preserve"> SKPst</w:t>
      </w:r>
      <w:r w:rsidRPr="005D0B0C">
        <w:t>.</w:t>
      </w:r>
      <w:r w:rsidRPr="00917E4C">
        <w:t xml:space="preserve"> Sel aastal </w:t>
      </w:r>
      <w:r>
        <w:t>mõjutab</w:t>
      </w:r>
      <w:r w:rsidRPr="00917E4C">
        <w:t xml:space="preserve"> maksukoormust maksuvaba tulu tõstmine 654 eurole ja vanaduspensioniealiste maksuvaba tulu tõstmine keskmise vanaduspensioni tasemele (704 eurot kuus 2023. aastal vastavalt riigieelarve prognoosile)</w:t>
      </w:r>
      <w:r>
        <w:t>, kuigi nende maksumuudatuste mõju on kevadel prognoositust väiksem seoses maksuvaba tulu jooksvalt mitte kasutamisega</w:t>
      </w:r>
      <w:r w:rsidRPr="00917E4C">
        <w:t>.</w:t>
      </w:r>
    </w:p>
    <w:p w14:paraId="5D4E6F2E" w14:textId="786500E3" w:rsidR="007D5584" w:rsidRDefault="007D5584" w:rsidP="007D5584">
      <w:pPr>
        <w:pStyle w:val="Phitekst"/>
      </w:pPr>
      <w:r>
        <w:t xml:space="preserve">Maksukoormus väheneb 2027. aastaks võrreldes 2023. </w:t>
      </w:r>
      <w:r w:rsidRPr="005D0B0C">
        <w:t>aastaga 0,6</w:t>
      </w:r>
      <w:r>
        <w:t xml:space="preserve"> protsendi</w:t>
      </w:r>
      <w:r w:rsidR="009711DC">
        <w:t>punkti</w:t>
      </w:r>
      <w:r w:rsidRPr="005D0B0C">
        <w:t xml:space="preserve"> võrra 32,7%le SKPst.</w:t>
      </w:r>
      <w:r>
        <w:t xml:space="preserve"> Selle põhjuseks on riigieelarvesse laekuva füüsilise isiku tulumaksu vähenemine 0,9</w:t>
      </w:r>
      <w:r w:rsidR="009711DC">
        <w:t> </w:t>
      </w:r>
      <w:r>
        <w:t>protsendi</w:t>
      </w:r>
      <w:r w:rsidR="009711DC">
        <w:t>punkti</w:t>
      </w:r>
      <w:r>
        <w:t xml:space="preserve"> võrra SKPst seoses üldise maksuvaba tulu 700 </w:t>
      </w:r>
      <w:r w:rsidRPr="00897502">
        <w:t xml:space="preserve">euroni </w:t>
      </w:r>
      <w:r w:rsidRPr="00050ACF">
        <w:t xml:space="preserve">tõstmise </w:t>
      </w:r>
      <w:r w:rsidR="000C708C" w:rsidRPr="00050ACF">
        <w:t>kõigile vanaduspensionieast noorematele ühtse maksuvaba tulu kehtestamisega</w:t>
      </w:r>
      <w:r w:rsidRPr="00050ACF">
        <w:t>,</w:t>
      </w:r>
      <w:r>
        <w:t xml:space="preserve"> mida tasakaalustab tulumaksumäära tõstmine ja soodustuste kaotamine</w:t>
      </w:r>
      <w:r w:rsidRPr="00897502">
        <w:t xml:space="preserve">. Käibemaksu maksumäärade tõstmise mõju ületab eratarbimise ja valitsussektori </w:t>
      </w:r>
      <w:r>
        <w:t xml:space="preserve">tarbimise </w:t>
      </w:r>
      <w:r w:rsidRPr="00897502">
        <w:t>vähenemise mõju</w:t>
      </w:r>
      <w:r>
        <w:t xml:space="preserve"> suhtena SKPsse</w:t>
      </w:r>
      <w:r w:rsidRPr="00897502">
        <w:t xml:space="preserve"> ja käibemaksu </w:t>
      </w:r>
      <w:r>
        <w:t>osakaal</w:t>
      </w:r>
      <w:r w:rsidRPr="00897502">
        <w:t xml:space="preserve"> SKP</w:t>
      </w:r>
      <w:r>
        <w:t>st</w:t>
      </w:r>
      <w:r w:rsidRPr="00897502">
        <w:t xml:space="preserve"> suureneb 0,4</w:t>
      </w:r>
      <w:r w:rsidR="00CB1BCE">
        <w:t>%</w:t>
      </w:r>
      <w:r w:rsidRPr="00897502">
        <w:t xml:space="preserve"> võrra.</w:t>
      </w:r>
      <w:r>
        <w:t xml:space="preserve"> Aktsiisimäärade tõus aeglustab tasumise langust, siiski väheneb nii alkoholi kui tubakaaktsiisi osakaal SKPst 0,1</w:t>
      </w:r>
      <w:r w:rsidR="00CB1BCE">
        <w:t xml:space="preserve">% </w:t>
      </w:r>
      <w:r>
        <w:t>võrra. Heitekvootide müügitulu väheneb 0,3</w:t>
      </w:r>
      <w:r w:rsidR="00CB1BCE">
        <w:t>%</w:t>
      </w:r>
      <w:r>
        <w:t xml:space="preserve"> võrra SKPst, kuna CO</w:t>
      </w:r>
      <w:r w:rsidRPr="00962D18">
        <w:rPr>
          <w:vertAlign w:val="subscript"/>
        </w:rPr>
        <w:t>2</w:t>
      </w:r>
      <w:r>
        <w:t xml:space="preserve"> ühikute koguseid vähendatakse </w:t>
      </w:r>
      <w:r w:rsidRPr="00BD1DD5">
        <w:t>2030.</w:t>
      </w:r>
      <w:r w:rsidR="008B0EAE">
        <w:t> </w:t>
      </w:r>
      <w:r>
        <w:t>aasta</w:t>
      </w:r>
      <w:r w:rsidRPr="00BD1DD5">
        <w:t xml:space="preserve"> sihttasemeid arvestades järk-järgult</w:t>
      </w:r>
      <w:r>
        <w:t xml:space="preserve">, mida võimalik ühikuhinna kasv ei kompenseeri. Kokkuvõttes jääb kaudsete maksude osakaal SKPst samale tasemele. Sotsiaalkindlustusmaksete osakaal </w:t>
      </w:r>
      <w:r>
        <w:t xml:space="preserve">suureneb 0,2 </w:t>
      </w:r>
      <w:r w:rsidRPr="00050ACF">
        <w:t>protsendi</w:t>
      </w:r>
      <w:r w:rsidR="009711DC">
        <w:t>punkti</w:t>
      </w:r>
      <w:r w:rsidRPr="00050ACF">
        <w:t xml:space="preserve"> võrra SKPst</w:t>
      </w:r>
      <w:r w:rsidR="00584E9B" w:rsidRPr="00050ACF">
        <w:t>,</w:t>
      </w:r>
      <w:r w:rsidRPr="00050ACF">
        <w:t xml:space="preserve"> </w:t>
      </w:r>
      <w:bookmarkStart w:id="113" w:name="_Hlk143512065"/>
      <w:r w:rsidRPr="00050ACF">
        <w:t>kuna</w:t>
      </w:r>
      <w:r w:rsidR="00584E9B" w:rsidRPr="00050ACF">
        <w:t xml:space="preserve"> palgafond kasvab veidi kiiremini kui SKP ja </w:t>
      </w:r>
      <w:r w:rsidRPr="00050ACF">
        <w:t xml:space="preserve">alampalga hea tahte kokkulepe </w:t>
      </w:r>
      <w:r w:rsidR="00584E9B" w:rsidRPr="00050ACF">
        <w:t xml:space="preserve"> suurendab </w:t>
      </w:r>
      <w:r w:rsidRPr="00050ACF">
        <w:t>riigi poolt tasutavat sotsiaalmaksu (SMS §6).</w:t>
      </w:r>
      <w:bookmarkEnd w:id="113"/>
    </w:p>
    <w:p w14:paraId="250C29E7" w14:textId="44D567E7" w:rsidR="007D5584" w:rsidRPr="00CB779E" w:rsidRDefault="007D5584" w:rsidP="007D5584">
      <w:pPr>
        <w:pStyle w:val="Caption"/>
      </w:pPr>
      <w:bookmarkStart w:id="114" w:name="_Ref143758146"/>
      <w:bookmarkStart w:id="115" w:name="_Toc143775530"/>
      <w:bookmarkEnd w:id="111"/>
      <w:bookmarkEnd w:id="112"/>
      <w:r w:rsidRPr="00050ACF">
        <w:t xml:space="preserve">Joonis </w:t>
      </w:r>
      <w:r w:rsidR="004C0EAE">
        <w:fldChar w:fldCharType="begin"/>
      </w:r>
      <w:r w:rsidR="004C0EAE">
        <w:instrText xml:space="preserve"> SEQ Joonis \* ARABIC </w:instrText>
      </w:r>
      <w:r w:rsidR="004C0EAE">
        <w:fldChar w:fldCharType="separate"/>
      </w:r>
      <w:r w:rsidR="00C5527F">
        <w:rPr>
          <w:noProof/>
        </w:rPr>
        <w:t>15</w:t>
      </w:r>
      <w:r w:rsidR="004C0EAE">
        <w:rPr>
          <w:noProof/>
        </w:rPr>
        <w:fldChar w:fldCharType="end"/>
      </w:r>
      <w:bookmarkEnd w:id="114"/>
      <w:r w:rsidRPr="00050ACF">
        <w:t>. Maksukoormus koos ja ilma uute maksumuudatusteta (% SKPst)</w:t>
      </w:r>
      <w:bookmarkEnd w:id="115"/>
    </w:p>
    <w:p w14:paraId="5EB055DD" w14:textId="77777777" w:rsidR="007D5584" w:rsidRPr="00CB779E" w:rsidRDefault="007D5584" w:rsidP="007D5584">
      <w:pPr>
        <w:pStyle w:val="Phitekst"/>
      </w:pPr>
      <w:r w:rsidRPr="00CB779E">
        <w:rPr>
          <w:noProof/>
        </w:rPr>
        <w:drawing>
          <wp:inline distT="0" distB="0" distL="0" distR="0" wp14:anchorId="7E2753A9" wp14:editId="14B0A463">
            <wp:extent cx="2917623" cy="1707233"/>
            <wp:effectExtent l="0" t="0" r="0" b="0"/>
            <wp:docPr id="264957233" name="Diagramm 1">
              <a:extLst xmlns:a="http://schemas.openxmlformats.org/drawingml/2006/main">
                <a:ext uri="{FF2B5EF4-FFF2-40B4-BE49-F238E27FC236}">
                  <a16:creationId xmlns:a16="http://schemas.microsoft.com/office/drawing/2014/main" id="{00000000-0008-0000-0100-00004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DDADC0C" w14:textId="0D84ACDB" w:rsidR="007D5584" w:rsidRDefault="007D5584" w:rsidP="007D5584">
      <w:pPr>
        <w:pStyle w:val="Phitekst"/>
        <w:rPr>
          <w:highlight w:val="cyan"/>
        </w:rPr>
      </w:pPr>
      <w:r w:rsidRPr="00B01B43">
        <w:t>Uute maksumuudatuste mõju ulatub 2024. aastal 0,7%ni, 2026. aastal 0,</w:t>
      </w:r>
      <w:r>
        <w:t>4</w:t>
      </w:r>
      <w:r w:rsidRPr="00B01B43">
        <w:t>%ni ja 2027. aastal 0,5%ni SKPst</w:t>
      </w:r>
      <w:r>
        <w:t xml:space="preserve"> </w:t>
      </w:r>
      <w:r w:rsidRPr="00917E4C">
        <w:t xml:space="preserve">(vt </w:t>
      </w:r>
      <w:r w:rsidR="00A377C1">
        <w:fldChar w:fldCharType="begin"/>
      </w:r>
      <w:r w:rsidR="00A377C1">
        <w:instrText xml:space="preserve"> REF _Ref143758146 \h </w:instrText>
      </w:r>
      <w:r w:rsidR="00A377C1">
        <w:fldChar w:fldCharType="separate"/>
      </w:r>
      <w:r w:rsidR="00A377C1" w:rsidRPr="00050ACF">
        <w:t xml:space="preserve">Joonis </w:t>
      </w:r>
      <w:r w:rsidR="00A377C1">
        <w:rPr>
          <w:noProof/>
        </w:rPr>
        <w:t>15</w:t>
      </w:r>
      <w:r w:rsidR="00A377C1">
        <w:fldChar w:fldCharType="end"/>
      </w:r>
      <w:r w:rsidRPr="00917E4C">
        <w:t>)</w:t>
      </w:r>
      <w:r w:rsidRPr="00B01B43">
        <w:t xml:space="preserve">. 2025. aastal on </w:t>
      </w:r>
      <w:r>
        <w:t xml:space="preserve">nende maksumuudatuste </w:t>
      </w:r>
      <w:r w:rsidRPr="00B01B43">
        <w:t xml:space="preserve">mõju tasakaalus. Võrreldes </w:t>
      </w:r>
      <w:r w:rsidRPr="00050ACF">
        <w:t>kevadprognoosiga väheneb maksukoormus 2025.</w:t>
      </w:r>
      <w:r w:rsidR="008B0EAE">
        <w:t> </w:t>
      </w:r>
      <w:r w:rsidRPr="00050ACF">
        <w:t>aastal 0,</w:t>
      </w:r>
      <w:r w:rsidR="00B60130" w:rsidRPr="00050ACF">
        <w:t>1</w:t>
      </w:r>
      <w:r w:rsidRPr="00050ACF">
        <w:t xml:space="preserve">% SKPst, teistel aastatel on </w:t>
      </w:r>
      <w:r w:rsidR="00D3057A" w:rsidRPr="00050ACF">
        <w:t>tõus</w:t>
      </w:r>
      <w:r w:rsidRPr="00050ACF">
        <w:t xml:space="preserve"> veidi</w:t>
      </w:r>
      <w:r>
        <w:t xml:space="preserve"> suurem kui</w:t>
      </w:r>
      <w:r w:rsidRPr="00B01B43">
        <w:t xml:space="preserve"> uute maksumuudatuste mõju</w:t>
      </w:r>
      <w:r>
        <w:t xml:space="preserve"> eelkõige SKP revisjoni tõttu</w:t>
      </w:r>
      <w:r w:rsidRPr="00B01B43">
        <w:t xml:space="preserve">. </w:t>
      </w:r>
      <w:r>
        <w:t>2025. aasta maksukoormuse vähenemist põhjustab maksuvaba tulu sissetulekutest sõltumise kaotamine, mille tõttu hakkavad inimesed tõenäoliselt kasutama maksuvaba tulu jooksvalt, ega anna enam riigile laenu. Samas tuleb sel aastal tulumaksuna tagastada 2024. aastal jooksvalt kasutamata jäänud maksuvaba tulu. Lisaks nendele mõjudele väheneb 2025. aastal võrreldes kevadprognoosiga ka heitekvootide müügitulu.</w:t>
      </w:r>
    </w:p>
    <w:p w14:paraId="40388D41" w14:textId="4E285D71" w:rsidR="007D5584" w:rsidRPr="001F5122" w:rsidRDefault="007D5584" w:rsidP="007D5584">
      <w:pPr>
        <w:pStyle w:val="Phitekst"/>
      </w:pPr>
      <w:r w:rsidRPr="001F5122">
        <w:t>Maksukoormust mõjutavad maksu-muudatused on toodud lisas (</w:t>
      </w:r>
      <w:r w:rsidR="00C04512">
        <w:fldChar w:fldCharType="begin"/>
      </w:r>
      <w:r w:rsidR="00C04512">
        <w:instrText xml:space="preserve"> REF _Ref511397834 \h </w:instrText>
      </w:r>
      <w:r w:rsidR="00C04512">
        <w:fldChar w:fldCharType="separate"/>
      </w:r>
      <w:r w:rsidR="00A377C1" w:rsidRPr="001D6947">
        <w:t xml:space="preserve">Tabel </w:t>
      </w:r>
      <w:r w:rsidR="00A377C1">
        <w:rPr>
          <w:noProof/>
        </w:rPr>
        <w:t>17</w:t>
      </w:r>
      <w:r w:rsidR="00C04512">
        <w:fldChar w:fldCharType="end"/>
      </w:r>
      <w:r w:rsidRPr="001F5122">
        <w:t>, Lisa 3).</w:t>
      </w:r>
    </w:p>
    <w:p w14:paraId="548FC8BC" w14:textId="77777777" w:rsidR="007D5584" w:rsidRPr="001F5122" w:rsidRDefault="007D5584" w:rsidP="007D5584">
      <w:pPr>
        <w:pStyle w:val="Phitekst"/>
        <w:spacing w:after="0"/>
      </w:pPr>
      <w:r w:rsidRPr="001F5122">
        <w:t xml:space="preserve">Lisaks maksutulude osakaalule SKPst iseloomustab maksukoormuse suurust </w:t>
      </w:r>
      <w:r w:rsidRPr="001F5122">
        <w:rPr>
          <w:b/>
        </w:rPr>
        <w:t>efektiivne</w:t>
      </w:r>
      <w:r w:rsidRPr="001F5122">
        <w:rPr>
          <w:b/>
          <w:vertAlign w:val="superscript"/>
        </w:rPr>
        <w:endnoteReference w:id="5"/>
      </w:r>
      <w:r w:rsidRPr="001F5122">
        <w:rPr>
          <w:b/>
        </w:rPr>
        <w:t xml:space="preserve"> maksu</w:t>
      </w:r>
      <w:r w:rsidRPr="001F5122">
        <w:rPr>
          <w:b/>
        </w:rPr>
        <w:softHyphen/>
        <w:t>määr</w:t>
      </w:r>
      <w:r w:rsidRPr="001F5122">
        <w:t xml:space="preserve"> (</w:t>
      </w:r>
      <w:proofErr w:type="spellStart"/>
      <w:r w:rsidRPr="001F5122">
        <w:rPr>
          <w:i/>
          <w:iCs/>
        </w:rPr>
        <w:t>implicit</w:t>
      </w:r>
      <w:proofErr w:type="spellEnd"/>
      <w:r w:rsidRPr="001F5122">
        <w:rPr>
          <w:i/>
          <w:iCs/>
        </w:rPr>
        <w:t xml:space="preserve"> </w:t>
      </w:r>
      <w:proofErr w:type="spellStart"/>
      <w:r w:rsidRPr="001F5122">
        <w:rPr>
          <w:i/>
          <w:iCs/>
        </w:rPr>
        <w:t>tax</w:t>
      </w:r>
      <w:proofErr w:type="spellEnd"/>
      <w:r w:rsidRPr="001F5122">
        <w:rPr>
          <w:i/>
          <w:iCs/>
        </w:rPr>
        <w:t xml:space="preserve"> </w:t>
      </w:r>
      <w:proofErr w:type="spellStart"/>
      <w:r w:rsidRPr="001F5122">
        <w:rPr>
          <w:i/>
          <w:iCs/>
        </w:rPr>
        <w:t>rate</w:t>
      </w:r>
      <w:proofErr w:type="spellEnd"/>
      <w:r w:rsidRPr="001F5122">
        <w:t>, ITR), mis on laekunud maksutulu suhe maksubaasi.</w:t>
      </w:r>
    </w:p>
    <w:p w14:paraId="2B14B122" w14:textId="77777777" w:rsidR="007D5584" w:rsidRPr="00050ACF" w:rsidRDefault="007D5584" w:rsidP="007D5584">
      <w:pPr>
        <w:pStyle w:val="Phitekst"/>
        <w:spacing w:after="0"/>
      </w:pPr>
    </w:p>
    <w:p w14:paraId="53DC4136" w14:textId="2D26C5B9" w:rsidR="007D5584" w:rsidRPr="00D27ACF" w:rsidRDefault="007F425B" w:rsidP="00C04512">
      <w:pPr>
        <w:pStyle w:val="Phitekst"/>
        <w:spacing w:after="0"/>
        <w:rPr>
          <w:highlight w:val="yellow"/>
        </w:rPr>
      </w:pPr>
      <w:bookmarkStart w:id="116" w:name="_Hlk143534442"/>
      <w:r w:rsidRPr="00050ACF">
        <w:rPr>
          <w:b/>
          <w:bCs/>
        </w:rPr>
        <w:t>Tööjõu efektiivne maksumäär langeb ajalooliselt madalale tasemele</w:t>
      </w:r>
      <w:r w:rsidR="00C04512">
        <w:rPr>
          <w:b/>
          <w:bCs/>
        </w:rPr>
        <w:t xml:space="preserve">. </w:t>
      </w:r>
      <w:r w:rsidRPr="00050ACF">
        <w:t xml:space="preserve">Näitaja </w:t>
      </w:r>
      <w:r w:rsidR="007D5584" w:rsidRPr="00050ACF">
        <w:t>ulatus 2021. aastal Eestis 32,7%ni</w:t>
      </w:r>
      <w:r w:rsidR="007D5584" w:rsidRPr="001F5122">
        <w:t xml:space="preserve"> </w:t>
      </w:r>
      <w:bookmarkEnd w:id="116"/>
      <w:r w:rsidR="007D5584" w:rsidRPr="001F5122">
        <w:t>(vt</w:t>
      </w:r>
      <w:r w:rsidR="009B3859">
        <w:t xml:space="preserve"> </w:t>
      </w:r>
      <w:r w:rsidR="009B3859">
        <w:fldChar w:fldCharType="begin"/>
      </w:r>
      <w:r w:rsidR="009B3859">
        <w:instrText xml:space="preserve"> REF _Ref111890390 \h </w:instrText>
      </w:r>
      <w:r w:rsidR="009B3859">
        <w:fldChar w:fldCharType="separate"/>
      </w:r>
      <w:r w:rsidR="00A377C1" w:rsidRPr="009B3859">
        <w:t xml:space="preserve">Joonis </w:t>
      </w:r>
      <w:r w:rsidR="00A377C1">
        <w:rPr>
          <w:noProof/>
        </w:rPr>
        <w:t>16</w:t>
      </w:r>
      <w:r w:rsidR="009B3859">
        <w:fldChar w:fldCharType="end"/>
      </w:r>
      <w:r w:rsidR="007D5584" w:rsidRPr="001F5122">
        <w:t xml:space="preserve">), mis oli Euroopa Liidus 17. kohal. </w:t>
      </w:r>
      <w:r w:rsidR="007D5584" w:rsidRPr="006D4312">
        <w:t>Näitaja leitakse tööjõu</w:t>
      </w:r>
      <w:r w:rsidR="007D5584" w:rsidRPr="006D4312">
        <w:softHyphen/>
        <w:t xml:space="preserve">maksude suhtena tööjõukuludesse. Kiire kasv aastatel 2021–2022 tulenes palgakasvust ja maksuvaba tulu paigal </w:t>
      </w:r>
      <w:r w:rsidR="007D5584" w:rsidRPr="006D4312">
        <w:lastRenderedPageBreak/>
        <w:t xml:space="preserve">püsimisest, mis viis inimesed maksuvaba tulu piirkonnast välja. Pensioni II sambast lahkujate tulu loetakse kapitalituluks ega mõjuta antud näitajat. </w:t>
      </w:r>
      <w:r w:rsidR="007D5584">
        <w:t xml:space="preserve">2023. aastal on </w:t>
      </w:r>
      <w:r w:rsidR="007D5584" w:rsidRPr="00695DB9">
        <w:t xml:space="preserve">tööturg püsinud tugev vaatamata majanduslangusele, see on toetanud tööjõumaksude tasumist. </w:t>
      </w:r>
      <w:r w:rsidR="007D5584">
        <w:t xml:space="preserve">Käesoleval aastal </w:t>
      </w:r>
      <w:r w:rsidR="007D5584" w:rsidRPr="00FA3A93">
        <w:t>kehtestati vanaduspensioni</w:t>
      </w:r>
      <w:r w:rsidR="007D5584" w:rsidRPr="00FA3A93">
        <w:softHyphen/>
        <w:t xml:space="preserve">ealiste maksuvaba tulu keskmise vanaduspensioni tasemel </w:t>
      </w:r>
      <w:r w:rsidR="007D5584">
        <w:t xml:space="preserve">(704 eurot) </w:t>
      </w:r>
      <w:r w:rsidR="007D5584" w:rsidRPr="00FA3A93">
        <w:t>ja tõsteti üldist maksuvaba tulu 654 euroni</w:t>
      </w:r>
      <w:r w:rsidR="007D5584">
        <w:t>, kuid inimesed on maksuvaba tulu kasutamist edasi lükanud. Seetõttu näitaja ei langenud, vaid ulatub 33,3%ni. Tööjõu efektiivne maksumäär stabiliseerub pärast maksumuudatusi 32% juures, mis on ajalooliselt üks madalamaid tasemeid.</w:t>
      </w:r>
    </w:p>
    <w:p w14:paraId="43BEA8FB" w14:textId="5381AB9E" w:rsidR="007D5584" w:rsidRPr="001F5122" w:rsidRDefault="007D5584" w:rsidP="007D5584">
      <w:pPr>
        <w:pStyle w:val="Caption"/>
        <w:spacing w:after="0"/>
      </w:pPr>
      <w:bookmarkStart w:id="117" w:name="_Ref111890390"/>
      <w:bookmarkStart w:id="118" w:name="_Toc112147573"/>
      <w:bookmarkStart w:id="119" w:name="_Toc143775531"/>
      <w:r w:rsidRPr="009B3859">
        <w:t xml:space="preserve">Joonis </w:t>
      </w:r>
      <w:r w:rsidR="004C0EAE">
        <w:fldChar w:fldCharType="begin"/>
      </w:r>
      <w:r w:rsidR="004C0EAE">
        <w:instrText xml:space="preserve"> SEQ Joonis \* ARABIC </w:instrText>
      </w:r>
      <w:r w:rsidR="004C0EAE">
        <w:fldChar w:fldCharType="separate"/>
      </w:r>
      <w:r w:rsidR="00C5527F">
        <w:rPr>
          <w:noProof/>
        </w:rPr>
        <w:t>16</w:t>
      </w:r>
      <w:r w:rsidR="004C0EAE">
        <w:rPr>
          <w:noProof/>
        </w:rPr>
        <w:fldChar w:fldCharType="end"/>
      </w:r>
      <w:bookmarkEnd w:id="117"/>
      <w:r w:rsidRPr="009B3859">
        <w:t>. Tööjõu efektiivne maksumäär (% maksubaasist)</w:t>
      </w:r>
      <w:bookmarkEnd w:id="118"/>
      <w:bookmarkEnd w:id="119"/>
    </w:p>
    <w:p w14:paraId="04658266" w14:textId="77777777" w:rsidR="007D5584" w:rsidRPr="00D27ACF" w:rsidRDefault="007D5584" w:rsidP="007D5584">
      <w:pPr>
        <w:pStyle w:val="Phitekst"/>
        <w:spacing w:after="0"/>
        <w:rPr>
          <w:noProof/>
          <w:highlight w:val="yellow"/>
        </w:rPr>
      </w:pPr>
      <w:r>
        <w:rPr>
          <w:noProof/>
        </w:rPr>
        <w:drawing>
          <wp:inline distT="0" distB="0" distL="0" distR="0" wp14:anchorId="2B524847" wp14:editId="0D4D9455">
            <wp:extent cx="2944051" cy="1844657"/>
            <wp:effectExtent l="0" t="0" r="8890" b="3810"/>
            <wp:docPr id="679894169" name="Diagramm 1">
              <a:extLst xmlns:a="http://schemas.openxmlformats.org/drawingml/2006/main">
                <a:ext uri="{FF2B5EF4-FFF2-40B4-BE49-F238E27FC236}">
                  <a16:creationId xmlns:a16="http://schemas.microsoft.com/office/drawing/2014/main" id="{00000000-0008-0000-01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5483508" w14:textId="397695BC" w:rsidR="007D5584" w:rsidRDefault="007F425B" w:rsidP="007D5584">
      <w:pPr>
        <w:pStyle w:val="Phitekst"/>
        <w:spacing w:after="0"/>
      </w:pPr>
      <w:bookmarkStart w:id="120" w:name="_Hlk143534484"/>
      <w:bookmarkStart w:id="121" w:name="_Hlk131003956"/>
      <w:r w:rsidRPr="009B3859">
        <w:rPr>
          <w:b/>
          <w:bCs/>
        </w:rPr>
        <w:t>Tarbimise efektiivne maksumäär on Eestis Euroopa Liidu üks kõrgemaid</w:t>
      </w:r>
      <w:r w:rsidR="00C04512">
        <w:rPr>
          <w:b/>
          <w:bCs/>
        </w:rPr>
        <w:t xml:space="preserve">. </w:t>
      </w:r>
      <w:r w:rsidRPr="009B3859">
        <w:t>Näitaja ulatus</w:t>
      </w:r>
      <w:r w:rsidR="007D5584" w:rsidRPr="009B3859">
        <w:t xml:space="preserve"> Eestis 2021.</w:t>
      </w:r>
      <w:r w:rsidR="008B0EAE">
        <w:t> </w:t>
      </w:r>
      <w:r w:rsidR="007D5584" w:rsidRPr="009B3859">
        <w:t>aastal 23,2%</w:t>
      </w:r>
      <w:r w:rsidRPr="009B3859">
        <w:t>ni</w:t>
      </w:r>
      <w:r w:rsidR="007D5584" w:rsidRPr="009B3859">
        <w:t>, millega olime Taani ja Ungari järel kolmandal kohal</w:t>
      </w:r>
      <w:r w:rsidR="007D5584" w:rsidRPr="00F14B78">
        <w:t xml:space="preserve"> </w:t>
      </w:r>
      <w:bookmarkEnd w:id="120"/>
      <w:r w:rsidR="007D5584" w:rsidRPr="00F14B78">
        <w:t xml:space="preserve">Euroopa </w:t>
      </w:r>
      <w:r w:rsidR="007D5584">
        <w:t>L</w:t>
      </w:r>
      <w:r w:rsidR="007D5584" w:rsidRPr="00F14B78">
        <w:t xml:space="preserve">iidus. See tuleneb osaliselt vähestest käibemaksu eranditest. </w:t>
      </w:r>
      <w:r w:rsidR="007D5584">
        <w:t>Näitaja langeb 2023. aastal 21,5%le, kuna käibemaksu tasumist mõjutab</w:t>
      </w:r>
      <w:r w:rsidR="007D5584" w:rsidRPr="00C874D4">
        <w:t xml:space="preserve"> kindlustunde langus ja ostujõu vähenemine</w:t>
      </w:r>
      <w:r w:rsidR="007D5584">
        <w:t xml:space="preserve">, ning tõuseb siis käibemaksu ja aktsiiside maksumäärade tõstmise tõttu </w:t>
      </w:r>
      <w:r w:rsidR="007D5584" w:rsidRPr="00F14B78">
        <w:t>2027.</w:t>
      </w:r>
      <w:r w:rsidR="008B0EAE">
        <w:t> </w:t>
      </w:r>
      <w:r w:rsidR="007D5584" w:rsidRPr="00F14B78">
        <w:t>aasta</w:t>
      </w:r>
      <w:r w:rsidR="007D5584">
        <w:t>ks</w:t>
      </w:r>
      <w:r w:rsidR="007D5584" w:rsidRPr="00F14B78">
        <w:t xml:space="preserve"> 22%ni.</w:t>
      </w:r>
    </w:p>
    <w:bookmarkEnd w:id="121"/>
    <w:p w14:paraId="0A353138" w14:textId="163EEB7A" w:rsidR="00355528" w:rsidRPr="00414819" w:rsidRDefault="00355528" w:rsidP="00C64396">
      <w:pPr>
        <w:pStyle w:val="Phitekst"/>
        <w:spacing w:after="0"/>
        <w:rPr>
          <w:highlight w:val="yellow"/>
        </w:rPr>
        <w:sectPr w:rsidR="00355528" w:rsidRPr="00414819" w:rsidSect="00C74FB5">
          <w:footerReference w:type="default" r:id="rId41"/>
          <w:footerReference w:type="first" r:id="rId42"/>
          <w:endnotePr>
            <w:numFmt w:val="decimal"/>
          </w:endnotePr>
          <w:type w:val="continuous"/>
          <w:pgSz w:w="11906" w:h="16838"/>
          <w:pgMar w:top="964" w:right="964" w:bottom="964" w:left="964" w:header="709" w:footer="709" w:gutter="0"/>
          <w:cols w:num="2" w:space="708"/>
          <w:docGrid w:linePitch="360"/>
        </w:sectPr>
      </w:pPr>
    </w:p>
    <w:bookmarkEnd w:id="101"/>
    <w:p w14:paraId="345E28BD" w14:textId="77777777" w:rsidR="00355528" w:rsidRPr="00414819" w:rsidRDefault="00355528" w:rsidP="00C74FB5">
      <w:pPr>
        <w:rPr>
          <w:highlight w:val="yellow"/>
        </w:rPr>
      </w:pPr>
    </w:p>
    <w:bookmarkEnd w:id="78"/>
    <w:p w14:paraId="495D703F" w14:textId="77777777" w:rsidR="00A66205" w:rsidRPr="00414819" w:rsidRDefault="00A66205" w:rsidP="00C74FB5">
      <w:pPr>
        <w:rPr>
          <w:highlight w:val="yellow"/>
        </w:rPr>
      </w:pPr>
    </w:p>
    <w:p w14:paraId="5E3E645E" w14:textId="3ED3407A" w:rsidR="00A66205" w:rsidRPr="00414819" w:rsidRDefault="00A66205" w:rsidP="00C74FB5">
      <w:pPr>
        <w:rPr>
          <w:highlight w:val="yellow"/>
        </w:rPr>
        <w:sectPr w:rsidR="00A66205" w:rsidRPr="00414819" w:rsidSect="0032671F">
          <w:endnotePr>
            <w:numFmt w:val="decimal"/>
          </w:endnotePr>
          <w:type w:val="continuous"/>
          <w:pgSz w:w="11906" w:h="16838"/>
          <w:pgMar w:top="964" w:right="964" w:bottom="964" w:left="964" w:header="709" w:footer="709" w:gutter="0"/>
          <w:cols w:space="708"/>
          <w:docGrid w:linePitch="360"/>
        </w:sectPr>
      </w:pPr>
    </w:p>
    <w:p w14:paraId="74DEC552" w14:textId="77777777" w:rsidR="00D540F8" w:rsidRPr="00582AF5" w:rsidRDefault="00D540F8" w:rsidP="00A66205">
      <w:pPr>
        <w:pStyle w:val="Heading3"/>
        <w:rPr>
          <w:rStyle w:val="longtext"/>
        </w:rPr>
      </w:pPr>
      <w:bookmarkStart w:id="122" w:name="_Toc18917268"/>
      <w:bookmarkStart w:id="123" w:name="_Toc62631838"/>
      <w:bookmarkStart w:id="124" w:name="_Toc64504563"/>
      <w:bookmarkStart w:id="125" w:name="_Toc68514336"/>
      <w:bookmarkStart w:id="126" w:name="_Toc143775505"/>
      <w:r w:rsidRPr="00582AF5">
        <w:rPr>
          <w:rStyle w:val="longtext"/>
        </w:rPr>
        <w:t>Riigieelarve mittemaksuliste tulude prognoos</w:t>
      </w:r>
      <w:bookmarkEnd w:id="122"/>
      <w:bookmarkEnd w:id="123"/>
      <w:bookmarkEnd w:id="124"/>
      <w:bookmarkEnd w:id="125"/>
      <w:bookmarkEnd w:id="126"/>
    </w:p>
    <w:p w14:paraId="2144D274" w14:textId="77777777" w:rsidR="00D540F8" w:rsidRPr="00582AF5" w:rsidRDefault="00D540F8" w:rsidP="00A66205">
      <w:pPr>
        <w:pStyle w:val="Heading3"/>
        <w:rPr>
          <w:rStyle w:val="longtext"/>
        </w:rPr>
        <w:sectPr w:rsidR="00D540F8" w:rsidRPr="00582AF5" w:rsidSect="00D540F8">
          <w:endnotePr>
            <w:numFmt w:val="decimal"/>
          </w:endnotePr>
          <w:type w:val="continuous"/>
          <w:pgSz w:w="11906" w:h="16838"/>
          <w:pgMar w:top="964" w:right="964" w:bottom="964" w:left="964" w:header="709" w:footer="709" w:gutter="0"/>
          <w:cols w:space="708"/>
          <w:docGrid w:linePitch="360"/>
        </w:sectPr>
      </w:pPr>
    </w:p>
    <w:p w14:paraId="684A62C3" w14:textId="5C9281C9" w:rsidR="00D540F8" w:rsidRPr="00414819" w:rsidRDefault="007D5584" w:rsidP="00A66205">
      <w:pPr>
        <w:pStyle w:val="Alapunkt"/>
        <w:rPr>
          <w:bCs/>
          <w:highlight w:val="yellow"/>
        </w:rPr>
      </w:pPr>
      <w:bookmarkStart w:id="127" w:name="_Toc5216771"/>
      <w:bookmarkStart w:id="128" w:name="_Toc5216822"/>
      <w:bookmarkStart w:id="129" w:name="_Toc5282046"/>
      <w:bookmarkStart w:id="130" w:name="_Toc62631839"/>
      <w:bookmarkStart w:id="131" w:name="_Toc64504564"/>
      <w:bookmarkStart w:id="132" w:name="_Toc64844897"/>
      <w:r>
        <w:t>Selle aasta tulude maht väheneb võrreldes kevadel oodatuga kõikide peamiste tululiikide tõttu.</w:t>
      </w:r>
      <w:bookmarkEnd w:id="127"/>
      <w:bookmarkEnd w:id="128"/>
      <w:bookmarkEnd w:id="129"/>
      <w:bookmarkEnd w:id="130"/>
      <w:bookmarkEnd w:id="131"/>
      <w:bookmarkEnd w:id="132"/>
    </w:p>
    <w:p w14:paraId="08BBBCA4" w14:textId="77777777" w:rsidR="00D540F8" w:rsidRPr="00414819" w:rsidRDefault="00D540F8" w:rsidP="00A66205">
      <w:pPr>
        <w:pStyle w:val="Alapunkt"/>
        <w:rPr>
          <w:b/>
          <w:bCs/>
          <w:highlight w:val="yellow"/>
        </w:rPr>
        <w:sectPr w:rsidR="00D540F8" w:rsidRPr="00414819" w:rsidSect="0093189D">
          <w:endnotePr>
            <w:numFmt w:val="decimal"/>
          </w:endnotePr>
          <w:type w:val="continuous"/>
          <w:pgSz w:w="11906" w:h="16838"/>
          <w:pgMar w:top="964" w:right="964" w:bottom="964" w:left="964" w:header="709" w:footer="709" w:gutter="0"/>
          <w:cols w:space="708"/>
          <w:docGrid w:linePitch="360"/>
        </w:sectPr>
      </w:pPr>
    </w:p>
    <w:p w14:paraId="4048F04F" w14:textId="4A0CAC21" w:rsidR="009C20E1" w:rsidRPr="00050ACF" w:rsidRDefault="00A00972" w:rsidP="009C20E1">
      <w:pPr>
        <w:pStyle w:val="Phitekst"/>
      </w:pPr>
      <w:r w:rsidRPr="00050ACF">
        <w:rPr>
          <w:b/>
          <w:bCs/>
        </w:rPr>
        <w:t>Mittemaksuliste tulude 2023. aasta laekumise prognoos väheneb võrreldes kevadprognoosiga 123,1 mln euro võrra 2 355,6 mln eurole peamiselt finantstulude ning toetuste prognoosi vähenemise tõttu (</w:t>
      </w:r>
      <w:r w:rsidRPr="00050ACF">
        <w:rPr>
          <w:b/>
          <w:bCs/>
        </w:rPr>
        <w:fldChar w:fldCharType="begin"/>
      </w:r>
      <w:r w:rsidRPr="00050ACF">
        <w:rPr>
          <w:b/>
          <w:bCs/>
        </w:rPr>
        <w:instrText xml:space="preserve"> REF _Ref100013210 \h  \* MERGEFORMAT </w:instrText>
      </w:r>
      <w:r w:rsidRPr="00050ACF">
        <w:rPr>
          <w:b/>
          <w:bCs/>
        </w:rPr>
      </w:r>
      <w:r w:rsidRPr="00050ACF">
        <w:rPr>
          <w:b/>
          <w:bCs/>
        </w:rPr>
        <w:fldChar w:fldCharType="separate"/>
      </w:r>
      <w:r w:rsidR="00A377C1" w:rsidRPr="00A377C1">
        <w:rPr>
          <w:b/>
          <w:bCs/>
        </w:rPr>
        <w:t>Tabel 3</w:t>
      </w:r>
      <w:r w:rsidRPr="00050ACF">
        <w:rPr>
          <w:b/>
          <w:bCs/>
        </w:rPr>
        <w:fldChar w:fldCharType="end"/>
      </w:r>
      <w:r w:rsidRPr="00050ACF">
        <w:rPr>
          <w:b/>
          <w:bCs/>
        </w:rPr>
        <w:t>).</w:t>
      </w:r>
      <w:r w:rsidRPr="00050ACF">
        <w:t xml:space="preserve"> Võrreldes 2022. aastaga suureneb laekumine samas 18%, tulenedes peamiselt </w:t>
      </w:r>
      <w:r w:rsidRPr="00050ACF">
        <w:t>toetustest, aga suurenevad ka kaupade ja teenuste müügitulud ning finantstulud. Toetuste maht kasvab 2025. aastaks 1,64 miljardi euroni, seda toetab nii uue perioodi rahade kasutamine, sh Rail Baltic, kui ka taastekava. Kokkuvõttes ulatub mitte</w:t>
      </w:r>
      <w:r w:rsidRPr="00050ACF">
        <w:softHyphen/>
        <w:t>maksuliste tulude maht 2024. aastaks 2,47 mld euroni.</w:t>
      </w:r>
    </w:p>
    <w:p w14:paraId="4937E7BB" w14:textId="77777777" w:rsidR="009C20E1" w:rsidRPr="00414819" w:rsidRDefault="009C20E1" w:rsidP="009C20E1">
      <w:pPr>
        <w:rPr>
          <w:rFonts w:ascii="Segoe UI" w:eastAsiaTheme="majorEastAsia" w:hAnsi="Segoe UI"/>
          <w:sz w:val="20"/>
          <w:highlight w:val="yellow"/>
        </w:rPr>
        <w:sectPr w:rsidR="009C20E1" w:rsidRPr="00414819" w:rsidSect="0093189D">
          <w:endnotePr>
            <w:numFmt w:val="decimal"/>
          </w:endnotePr>
          <w:type w:val="continuous"/>
          <w:pgSz w:w="11906" w:h="16838"/>
          <w:pgMar w:top="964" w:right="964" w:bottom="964" w:left="964" w:header="709" w:footer="709" w:gutter="0"/>
          <w:cols w:num="2" w:space="708"/>
          <w:docGrid w:linePitch="360"/>
        </w:sectPr>
      </w:pPr>
    </w:p>
    <w:p w14:paraId="00C1D365" w14:textId="77777777" w:rsidR="009C20E1" w:rsidRPr="00414819" w:rsidRDefault="009C20E1" w:rsidP="009C20E1">
      <w:pPr>
        <w:rPr>
          <w:rFonts w:ascii="Segoe UI" w:hAnsi="Segoe UI" w:cs="Segoe UI"/>
          <w:bCs/>
          <w:sz w:val="20"/>
          <w:highlight w:val="yellow"/>
        </w:rPr>
        <w:sectPr w:rsidR="009C20E1" w:rsidRPr="00414819" w:rsidSect="0093189D">
          <w:endnotePr>
            <w:numFmt w:val="decimal"/>
          </w:endnotePr>
          <w:type w:val="continuous"/>
          <w:pgSz w:w="11906" w:h="16838"/>
          <w:pgMar w:top="964" w:right="964" w:bottom="964" w:left="964" w:header="709" w:footer="709" w:gutter="0"/>
          <w:cols w:num="2" w:space="708"/>
          <w:docGrid w:linePitch="360"/>
        </w:sectPr>
      </w:pPr>
    </w:p>
    <w:p w14:paraId="26D770BB" w14:textId="25A8CB81" w:rsidR="009C20E1" w:rsidRPr="007D5584" w:rsidRDefault="009C20E1" w:rsidP="009C20E1">
      <w:pPr>
        <w:pStyle w:val="Caption"/>
      </w:pPr>
      <w:bookmarkStart w:id="133" w:name="_Ref100013210"/>
      <w:bookmarkStart w:id="134" w:name="_Toc4502658"/>
      <w:bookmarkStart w:id="135" w:name="_Toc68514417"/>
      <w:bookmarkStart w:id="136" w:name="_Toc143775544"/>
      <w:r w:rsidRPr="007D5584">
        <w:t xml:space="preserve">Tabel </w:t>
      </w:r>
      <w:r w:rsidRPr="007D5584">
        <w:rPr>
          <w:noProof/>
        </w:rPr>
        <w:fldChar w:fldCharType="begin"/>
      </w:r>
      <w:r w:rsidRPr="007D5584">
        <w:rPr>
          <w:noProof/>
        </w:rPr>
        <w:instrText xml:space="preserve"> SEQ Tabel \* ARABIC </w:instrText>
      </w:r>
      <w:r w:rsidRPr="007D5584">
        <w:rPr>
          <w:noProof/>
        </w:rPr>
        <w:fldChar w:fldCharType="separate"/>
      </w:r>
      <w:r w:rsidR="009B3859">
        <w:rPr>
          <w:noProof/>
        </w:rPr>
        <w:t>3</w:t>
      </w:r>
      <w:r w:rsidRPr="007D5584">
        <w:rPr>
          <w:noProof/>
        </w:rPr>
        <w:fldChar w:fldCharType="end"/>
      </w:r>
      <w:bookmarkEnd w:id="133"/>
      <w:r w:rsidRPr="007D5584">
        <w:t xml:space="preserve">. </w:t>
      </w:r>
      <w:bookmarkEnd w:id="134"/>
      <w:r w:rsidRPr="007D5584">
        <w:t xml:space="preserve">Mittemaksuliste tulude </w:t>
      </w:r>
      <w:r w:rsidR="007D5584" w:rsidRPr="007D5584">
        <w:t>2023. aasta suvise prognoosi muutus võrreldes 2023. aasta eelarve prognoosiga</w:t>
      </w:r>
      <w:r w:rsidRPr="007D5584">
        <w:t xml:space="preserve"> (mln eurot)</w:t>
      </w:r>
      <w:bookmarkEnd w:id="135"/>
      <w:bookmarkEnd w:id="136"/>
    </w:p>
    <w:tbl>
      <w:tblPr>
        <w:tblStyle w:val="TableSubtle1"/>
        <w:tblW w:w="5000" w:type="pct"/>
        <w:tblLook w:val="04A0" w:firstRow="1" w:lastRow="0" w:firstColumn="1" w:lastColumn="0" w:noHBand="0" w:noVBand="1"/>
      </w:tblPr>
      <w:tblGrid>
        <w:gridCol w:w="3117"/>
        <w:gridCol w:w="1034"/>
        <w:gridCol w:w="942"/>
        <w:gridCol w:w="1225"/>
        <w:gridCol w:w="1447"/>
        <w:gridCol w:w="1343"/>
        <w:gridCol w:w="870"/>
      </w:tblGrid>
      <w:tr w:rsidR="00A00972" w:rsidRPr="00050ACF" w14:paraId="207DE333" w14:textId="77777777" w:rsidTr="002B7863">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62" w:type="pct"/>
            <w:hideMark/>
          </w:tcPr>
          <w:p w14:paraId="422B8862" w14:textId="77777777" w:rsidR="00A00972" w:rsidRPr="00050ACF" w:rsidRDefault="00A00972" w:rsidP="002B7863">
            <w:pPr>
              <w:pStyle w:val="Tabelid"/>
            </w:pPr>
            <w:r w:rsidRPr="00050ACF">
              <w:t> </w:t>
            </w:r>
          </w:p>
        </w:tc>
        <w:tc>
          <w:tcPr>
            <w:tcW w:w="518" w:type="pct"/>
          </w:tcPr>
          <w:p w14:paraId="1B1BF62A" w14:textId="77777777" w:rsidR="00A00972" w:rsidRPr="00050ACF" w:rsidRDefault="00A00972" w:rsidP="002B7863">
            <w:pPr>
              <w:pStyle w:val="Tabelid"/>
              <w:cnfStyle w:val="100000000000" w:firstRow="1" w:lastRow="0" w:firstColumn="0" w:lastColumn="0" w:oddVBand="0" w:evenVBand="0" w:oddHBand="0" w:evenHBand="0" w:firstRowFirstColumn="0" w:firstRowLastColumn="0" w:lastRowFirstColumn="0" w:lastRowLastColumn="0"/>
            </w:pPr>
            <w:r w:rsidRPr="00050ACF">
              <w:t>2020</w:t>
            </w:r>
          </w:p>
        </w:tc>
        <w:tc>
          <w:tcPr>
            <w:tcW w:w="472" w:type="pct"/>
          </w:tcPr>
          <w:p w14:paraId="1ABF6594" w14:textId="77777777" w:rsidR="00A00972" w:rsidRPr="00050ACF" w:rsidRDefault="00A00972" w:rsidP="002B7863">
            <w:pPr>
              <w:pStyle w:val="Tabelid"/>
              <w:cnfStyle w:val="100000000000" w:firstRow="1" w:lastRow="0" w:firstColumn="0" w:lastColumn="0" w:oddVBand="0" w:evenVBand="0" w:oddHBand="0" w:evenHBand="0" w:firstRowFirstColumn="0" w:firstRowLastColumn="0" w:lastRowFirstColumn="0" w:lastRowLastColumn="0"/>
            </w:pPr>
            <w:r w:rsidRPr="00050ACF">
              <w:t>2021</w:t>
            </w:r>
          </w:p>
        </w:tc>
        <w:tc>
          <w:tcPr>
            <w:tcW w:w="614" w:type="pct"/>
            <w:noWrap/>
            <w:hideMark/>
          </w:tcPr>
          <w:p w14:paraId="3BA89AB5" w14:textId="77777777" w:rsidR="00A00972" w:rsidRPr="00050ACF" w:rsidRDefault="00A00972" w:rsidP="002B7863">
            <w:pPr>
              <w:pStyle w:val="Tabelid"/>
              <w:cnfStyle w:val="100000000000" w:firstRow="1" w:lastRow="0" w:firstColumn="0" w:lastColumn="0" w:oddVBand="0" w:evenVBand="0" w:oddHBand="0" w:evenHBand="0" w:firstRowFirstColumn="0" w:firstRowLastColumn="0" w:lastRowFirstColumn="0" w:lastRowLastColumn="0"/>
            </w:pPr>
            <w:r w:rsidRPr="00050ACF">
              <w:t>2022</w:t>
            </w:r>
          </w:p>
        </w:tc>
        <w:tc>
          <w:tcPr>
            <w:tcW w:w="1834" w:type="pct"/>
            <w:gridSpan w:val="3"/>
            <w:noWrap/>
            <w:hideMark/>
          </w:tcPr>
          <w:p w14:paraId="4E43F795" w14:textId="77777777" w:rsidR="00A00972" w:rsidRPr="00050ACF" w:rsidRDefault="00A00972" w:rsidP="002B7863">
            <w:pPr>
              <w:pStyle w:val="Tabelid"/>
              <w:jc w:val="center"/>
              <w:cnfStyle w:val="100000000000" w:firstRow="1" w:lastRow="0" w:firstColumn="0" w:lastColumn="0" w:oddVBand="0" w:evenVBand="0" w:oddHBand="0" w:evenHBand="0" w:firstRowFirstColumn="0" w:firstRowLastColumn="0" w:lastRowFirstColumn="0" w:lastRowLastColumn="0"/>
            </w:pPr>
            <w:r w:rsidRPr="00050ACF">
              <w:t>2023</w:t>
            </w:r>
          </w:p>
        </w:tc>
      </w:tr>
      <w:tr w:rsidR="00A00972" w:rsidRPr="00050ACF" w14:paraId="52B0CA1B" w14:textId="77777777" w:rsidTr="002B786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562" w:type="pct"/>
          </w:tcPr>
          <w:p w14:paraId="1881EDBA" w14:textId="77777777" w:rsidR="00A00972" w:rsidRPr="00050ACF" w:rsidRDefault="00A00972" w:rsidP="002B7863">
            <w:pPr>
              <w:pStyle w:val="Tabelid"/>
            </w:pPr>
          </w:p>
        </w:tc>
        <w:tc>
          <w:tcPr>
            <w:tcW w:w="518" w:type="pct"/>
          </w:tcPr>
          <w:p w14:paraId="4B89B603" w14:textId="77777777" w:rsidR="00A00972" w:rsidRPr="00050ACF" w:rsidRDefault="00A00972" w:rsidP="002B7863">
            <w:pPr>
              <w:pStyle w:val="Tabelid"/>
              <w:cnfStyle w:val="000000100000" w:firstRow="0" w:lastRow="0" w:firstColumn="0" w:lastColumn="0" w:oddVBand="0" w:evenVBand="0" w:oddHBand="1" w:evenHBand="0" w:firstRowFirstColumn="0" w:firstRowLastColumn="0" w:lastRowFirstColumn="0" w:lastRowLastColumn="0"/>
            </w:pPr>
            <w:r w:rsidRPr="00050ACF">
              <w:t>Täitmine</w:t>
            </w:r>
          </w:p>
        </w:tc>
        <w:tc>
          <w:tcPr>
            <w:tcW w:w="472" w:type="pct"/>
          </w:tcPr>
          <w:p w14:paraId="7D1868D4" w14:textId="77777777" w:rsidR="00A00972" w:rsidRPr="00050ACF" w:rsidRDefault="00A00972" w:rsidP="002B7863">
            <w:pPr>
              <w:pStyle w:val="Tabelid"/>
              <w:cnfStyle w:val="000000100000" w:firstRow="0" w:lastRow="0" w:firstColumn="0" w:lastColumn="0" w:oddVBand="0" w:evenVBand="0" w:oddHBand="1" w:evenHBand="0" w:firstRowFirstColumn="0" w:firstRowLastColumn="0" w:lastRowFirstColumn="0" w:lastRowLastColumn="0"/>
            </w:pPr>
            <w:r w:rsidRPr="00050ACF">
              <w:t>Täitmine</w:t>
            </w:r>
          </w:p>
        </w:tc>
        <w:tc>
          <w:tcPr>
            <w:tcW w:w="614" w:type="pct"/>
            <w:noWrap/>
          </w:tcPr>
          <w:p w14:paraId="2C7A81C1" w14:textId="77777777" w:rsidR="00A00972" w:rsidRPr="00050ACF" w:rsidRDefault="00A00972" w:rsidP="002B7863">
            <w:pPr>
              <w:pStyle w:val="Tabelid"/>
              <w:cnfStyle w:val="000000100000" w:firstRow="0" w:lastRow="0" w:firstColumn="0" w:lastColumn="0" w:oddVBand="0" w:evenVBand="0" w:oddHBand="1" w:evenHBand="0" w:firstRowFirstColumn="0" w:firstRowLastColumn="0" w:lastRowFirstColumn="0" w:lastRowLastColumn="0"/>
            </w:pPr>
            <w:r w:rsidRPr="00050ACF">
              <w:t>Täitmine</w:t>
            </w:r>
          </w:p>
        </w:tc>
        <w:tc>
          <w:tcPr>
            <w:tcW w:w="725" w:type="pct"/>
            <w:noWrap/>
          </w:tcPr>
          <w:p w14:paraId="72D0A2F3" w14:textId="77777777" w:rsidR="00A00972" w:rsidRPr="00050ACF" w:rsidRDefault="00A00972" w:rsidP="002B7863">
            <w:pPr>
              <w:pStyle w:val="Tabelid"/>
              <w:cnfStyle w:val="000000100000" w:firstRow="0" w:lastRow="0" w:firstColumn="0" w:lastColumn="0" w:oddVBand="0" w:evenVBand="0" w:oddHBand="1" w:evenHBand="0" w:firstRowFirstColumn="0" w:firstRowLastColumn="0" w:lastRowFirstColumn="0" w:lastRowLastColumn="0"/>
            </w:pPr>
            <w:r w:rsidRPr="00050ACF">
              <w:t>Kevadprognoos</w:t>
            </w:r>
          </w:p>
        </w:tc>
        <w:tc>
          <w:tcPr>
            <w:tcW w:w="673" w:type="pct"/>
            <w:noWrap/>
          </w:tcPr>
          <w:p w14:paraId="49083C50" w14:textId="77777777" w:rsidR="00A00972" w:rsidRPr="00050ACF" w:rsidRDefault="00A00972" w:rsidP="002B7863">
            <w:pPr>
              <w:pStyle w:val="Tabelid"/>
              <w:cnfStyle w:val="000000100000" w:firstRow="0" w:lastRow="0" w:firstColumn="0" w:lastColumn="0" w:oddVBand="0" w:evenVBand="0" w:oddHBand="1" w:evenHBand="0" w:firstRowFirstColumn="0" w:firstRowLastColumn="0" w:lastRowFirstColumn="0" w:lastRowLastColumn="0"/>
            </w:pPr>
            <w:r w:rsidRPr="00050ACF">
              <w:t>Suveprognoos</w:t>
            </w:r>
          </w:p>
        </w:tc>
        <w:tc>
          <w:tcPr>
            <w:tcW w:w="436" w:type="pct"/>
            <w:noWrap/>
          </w:tcPr>
          <w:p w14:paraId="5BFEA29A" w14:textId="77777777" w:rsidR="00A00972" w:rsidRPr="00050ACF" w:rsidRDefault="00A00972" w:rsidP="002B7863">
            <w:pPr>
              <w:pStyle w:val="Tabelid"/>
              <w:cnfStyle w:val="000000100000" w:firstRow="0" w:lastRow="0" w:firstColumn="0" w:lastColumn="0" w:oddVBand="0" w:evenVBand="0" w:oddHBand="1" w:evenHBand="0" w:firstRowFirstColumn="0" w:firstRowLastColumn="0" w:lastRowFirstColumn="0" w:lastRowLastColumn="0"/>
            </w:pPr>
            <w:r w:rsidRPr="00050ACF">
              <w:t>Muutus</w:t>
            </w:r>
          </w:p>
        </w:tc>
      </w:tr>
      <w:tr w:rsidR="00A00972" w:rsidRPr="00050ACF" w14:paraId="56EAD591" w14:textId="77777777" w:rsidTr="002B7863">
        <w:trPr>
          <w:trHeight w:val="266"/>
        </w:trPr>
        <w:tc>
          <w:tcPr>
            <w:cnfStyle w:val="001000000000" w:firstRow="0" w:lastRow="0" w:firstColumn="1" w:lastColumn="0" w:oddVBand="0" w:evenVBand="0" w:oddHBand="0" w:evenHBand="0" w:firstRowFirstColumn="0" w:firstRowLastColumn="0" w:lastRowFirstColumn="0" w:lastRowLastColumn="0"/>
            <w:tcW w:w="1562" w:type="pct"/>
            <w:noWrap/>
            <w:hideMark/>
          </w:tcPr>
          <w:p w14:paraId="634657AE" w14:textId="77777777" w:rsidR="00A00972" w:rsidRPr="00426DD3" w:rsidRDefault="00A00972" w:rsidP="00426DD3">
            <w:pPr>
              <w:pStyle w:val="Tabelid"/>
            </w:pPr>
            <w:r w:rsidRPr="00426DD3">
              <w:t>Mittemaksulised tulud</w:t>
            </w:r>
          </w:p>
        </w:tc>
        <w:tc>
          <w:tcPr>
            <w:tcW w:w="518" w:type="pct"/>
          </w:tcPr>
          <w:p w14:paraId="1C9EA14E"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1 484,5</w:t>
            </w:r>
          </w:p>
        </w:tc>
        <w:tc>
          <w:tcPr>
            <w:tcW w:w="472" w:type="pct"/>
          </w:tcPr>
          <w:p w14:paraId="0C9EE0D1"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1 559,8</w:t>
            </w:r>
          </w:p>
        </w:tc>
        <w:tc>
          <w:tcPr>
            <w:tcW w:w="614" w:type="pct"/>
            <w:noWrap/>
            <w:hideMark/>
          </w:tcPr>
          <w:p w14:paraId="46235D3C"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1 996,2</w:t>
            </w:r>
          </w:p>
        </w:tc>
        <w:tc>
          <w:tcPr>
            <w:tcW w:w="725" w:type="pct"/>
            <w:noWrap/>
            <w:hideMark/>
          </w:tcPr>
          <w:p w14:paraId="55BCA02F"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2 478,7</w:t>
            </w:r>
          </w:p>
        </w:tc>
        <w:tc>
          <w:tcPr>
            <w:tcW w:w="673" w:type="pct"/>
            <w:noWrap/>
            <w:hideMark/>
          </w:tcPr>
          <w:p w14:paraId="405A1FAA"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2 355,6</w:t>
            </w:r>
          </w:p>
        </w:tc>
        <w:tc>
          <w:tcPr>
            <w:tcW w:w="436" w:type="pct"/>
            <w:noWrap/>
            <w:hideMark/>
          </w:tcPr>
          <w:p w14:paraId="5C7D8882"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-123,1</w:t>
            </w:r>
          </w:p>
        </w:tc>
      </w:tr>
      <w:tr w:rsidR="00A00972" w:rsidRPr="00050ACF" w14:paraId="0FC48C02" w14:textId="77777777" w:rsidTr="002B786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62" w:type="pct"/>
            <w:noWrap/>
          </w:tcPr>
          <w:p w14:paraId="0A0FFC90" w14:textId="77777777" w:rsidR="00A00972" w:rsidRPr="00426DD3" w:rsidRDefault="00A00972" w:rsidP="00426DD3">
            <w:pPr>
              <w:pStyle w:val="Tabelid"/>
              <w:rPr>
                <w:b w:val="0"/>
                <w:bCs/>
              </w:rPr>
            </w:pPr>
            <w:r w:rsidRPr="00426DD3">
              <w:rPr>
                <w:b w:val="0"/>
                <w:bCs/>
              </w:rPr>
              <w:t>Kaupade ja teenuste müük</w:t>
            </w:r>
          </w:p>
        </w:tc>
        <w:tc>
          <w:tcPr>
            <w:tcW w:w="518" w:type="pct"/>
          </w:tcPr>
          <w:p w14:paraId="2258CE78"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rPr>
                <w:sz w:val="20"/>
              </w:rPr>
            </w:pPr>
            <w:r w:rsidRPr="00050ACF">
              <w:t>309,0</w:t>
            </w:r>
          </w:p>
        </w:tc>
        <w:tc>
          <w:tcPr>
            <w:tcW w:w="472" w:type="pct"/>
          </w:tcPr>
          <w:p w14:paraId="43F5A73D"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rPr>
                <w:sz w:val="20"/>
              </w:rPr>
            </w:pPr>
            <w:r w:rsidRPr="00050ACF">
              <w:t>295,7</w:t>
            </w:r>
          </w:p>
        </w:tc>
        <w:tc>
          <w:tcPr>
            <w:tcW w:w="614" w:type="pct"/>
            <w:noWrap/>
          </w:tcPr>
          <w:p w14:paraId="421D9A3D"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428,9</w:t>
            </w:r>
          </w:p>
        </w:tc>
        <w:tc>
          <w:tcPr>
            <w:tcW w:w="725" w:type="pct"/>
            <w:noWrap/>
          </w:tcPr>
          <w:p w14:paraId="04B2F027"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513,2</w:t>
            </w:r>
          </w:p>
        </w:tc>
        <w:tc>
          <w:tcPr>
            <w:tcW w:w="673" w:type="pct"/>
            <w:noWrap/>
          </w:tcPr>
          <w:p w14:paraId="5FB3C169"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509,2</w:t>
            </w:r>
          </w:p>
        </w:tc>
        <w:tc>
          <w:tcPr>
            <w:tcW w:w="436" w:type="pct"/>
            <w:noWrap/>
          </w:tcPr>
          <w:p w14:paraId="0E0FD0A9"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-4,0</w:t>
            </w:r>
          </w:p>
        </w:tc>
      </w:tr>
      <w:tr w:rsidR="00A00972" w:rsidRPr="00050ACF" w14:paraId="52C4F7C4" w14:textId="77777777" w:rsidTr="002B7863">
        <w:trPr>
          <w:trHeight w:val="266"/>
        </w:trPr>
        <w:tc>
          <w:tcPr>
            <w:cnfStyle w:val="001000000000" w:firstRow="0" w:lastRow="0" w:firstColumn="1" w:lastColumn="0" w:oddVBand="0" w:evenVBand="0" w:oddHBand="0" w:evenHBand="0" w:firstRowFirstColumn="0" w:firstRowLastColumn="0" w:lastRowFirstColumn="0" w:lastRowLastColumn="0"/>
            <w:tcW w:w="1562" w:type="pct"/>
            <w:noWrap/>
          </w:tcPr>
          <w:p w14:paraId="023BED71" w14:textId="77777777" w:rsidR="00A00972" w:rsidRPr="00426DD3" w:rsidRDefault="00A00972" w:rsidP="00426DD3">
            <w:pPr>
              <w:pStyle w:val="Tabelid"/>
              <w:rPr>
                <w:b w:val="0"/>
                <w:bCs/>
              </w:rPr>
            </w:pPr>
            <w:r w:rsidRPr="00426DD3">
              <w:rPr>
                <w:b w:val="0"/>
                <w:bCs/>
              </w:rPr>
              <w:t>Saadud toetused</w:t>
            </w:r>
          </w:p>
        </w:tc>
        <w:tc>
          <w:tcPr>
            <w:tcW w:w="518" w:type="pct"/>
          </w:tcPr>
          <w:p w14:paraId="5010AAD1"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rPr>
                <w:sz w:val="20"/>
              </w:rPr>
            </w:pPr>
            <w:r w:rsidRPr="00050ACF">
              <w:t>854,3</w:t>
            </w:r>
          </w:p>
        </w:tc>
        <w:tc>
          <w:tcPr>
            <w:tcW w:w="472" w:type="pct"/>
          </w:tcPr>
          <w:p w14:paraId="2A75F88F"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rPr>
                <w:sz w:val="20"/>
              </w:rPr>
            </w:pPr>
            <w:r w:rsidRPr="00050ACF">
              <w:t>961,6</w:t>
            </w:r>
          </w:p>
        </w:tc>
        <w:tc>
          <w:tcPr>
            <w:tcW w:w="614" w:type="pct"/>
            <w:noWrap/>
          </w:tcPr>
          <w:p w14:paraId="0ACD4E42"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1074,9</w:t>
            </w:r>
          </w:p>
        </w:tc>
        <w:tc>
          <w:tcPr>
            <w:tcW w:w="725" w:type="pct"/>
            <w:noWrap/>
          </w:tcPr>
          <w:p w14:paraId="013FF852"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1483,0</w:t>
            </w:r>
          </w:p>
        </w:tc>
        <w:tc>
          <w:tcPr>
            <w:tcW w:w="673" w:type="pct"/>
            <w:noWrap/>
          </w:tcPr>
          <w:p w14:paraId="0E261A10"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1384,5</w:t>
            </w:r>
          </w:p>
        </w:tc>
        <w:tc>
          <w:tcPr>
            <w:tcW w:w="436" w:type="pct"/>
            <w:noWrap/>
          </w:tcPr>
          <w:p w14:paraId="66C29B19"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-98,5</w:t>
            </w:r>
          </w:p>
        </w:tc>
      </w:tr>
      <w:tr w:rsidR="00A00972" w:rsidRPr="00050ACF" w14:paraId="6827FF3B" w14:textId="77777777" w:rsidTr="002B7863">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62" w:type="pct"/>
            <w:noWrap/>
          </w:tcPr>
          <w:p w14:paraId="69620F17" w14:textId="77777777" w:rsidR="00A00972" w:rsidRPr="00426DD3" w:rsidRDefault="00A00972" w:rsidP="00426DD3">
            <w:pPr>
              <w:pStyle w:val="Tabelid"/>
              <w:rPr>
                <w:b w:val="0"/>
                <w:bCs/>
              </w:rPr>
            </w:pPr>
            <w:r w:rsidRPr="00426DD3">
              <w:rPr>
                <w:b w:val="0"/>
                <w:bCs/>
              </w:rPr>
              <w:t>Muud tulud</w:t>
            </w:r>
          </w:p>
        </w:tc>
        <w:tc>
          <w:tcPr>
            <w:tcW w:w="518" w:type="pct"/>
          </w:tcPr>
          <w:p w14:paraId="71E9CCFB"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rPr>
                <w:sz w:val="20"/>
              </w:rPr>
            </w:pPr>
            <w:r w:rsidRPr="00050ACF">
              <w:t>122,4</w:t>
            </w:r>
          </w:p>
        </w:tc>
        <w:tc>
          <w:tcPr>
            <w:tcW w:w="472" w:type="pct"/>
          </w:tcPr>
          <w:p w14:paraId="31699B0B"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rPr>
                <w:sz w:val="20"/>
              </w:rPr>
            </w:pPr>
            <w:r w:rsidRPr="00050ACF">
              <w:t>191,8</w:t>
            </w:r>
          </w:p>
        </w:tc>
        <w:tc>
          <w:tcPr>
            <w:tcW w:w="614" w:type="pct"/>
            <w:noWrap/>
          </w:tcPr>
          <w:p w14:paraId="3B6DB12A"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290,9</w:t>
            </w:r>
          </w:p>
        </w:tc>
        <w:tc>
          <w:tcPr>
            <w:tcW w:w="725" w:type="pct"/>
            <w:noWrap/>
          </w:tcPr>
          <w:p w14:paraId="7A326CA0"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236,8</w:t>
            </w:r>
          </w:p>
        </w:tc>
        <w:tc>
          <w:tcPr>
            <w:tcW w:w="673" w:type="pct"/>
            <w:noWrap/>
          </w:tcPr>
          <w:p w14:paraId="7B7E2431"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229,7</w:t>
            </w:r>
          </w:p>
        </w:tc>
        <w:tc>
          <w:tcPr>
            <w:tcW w:w="436" w:type="pct"/>
            <w:noWrap/>
          </w:tcPr>
          <w:p w14:paraId="313F658F" w14:textId="77777777" w:rsidR="00A00972" w:rsidRPr="00050ACF" w:rsidRDefault="00A00972" w:rsidP="00426DD3">
            <w:pPr>
              <w:pStyle w:val="Tabelid"/>
              <w:cnfStyle w:val="000000100000" w:firstRow="0" w:lastRow="0" w:firstColumn="0" w:lastColumn="0" w:oddVBand="0" w:evenVBand="0" w:oddHBand="1" w:evenHBand="0" w:firstRowFirstColumn="0" w:firstRowLastColumn="0" w:lastRowFirstColumn="0" w:lastRowLastColumn="0"/>
            </w:pPr>
            <w:r w:rsidRPr="00050ACF">
              <w:t>-7,1</w:t>
            </w:r>
          </w:p>
        </w:tc>
      </w:tr>
      <w:tr w:rsidR="00A00972" w:rsidRPr="00050ACF" w14:paraId="4C87DE14" w14:textId="77777777" w:rsidTr="002B7863">
        <w:trPr>
          <w:trHeight w:val="266"/>
        </w:trPr>
        <w:tc>
          <w:tcPr>
            <w:cnfStyle w:val="001000000000" w:firstRow="0" w:lastRow="0" w:firstColumn="1" w:lastColumn="0" w:oddVBand="0" w:evenVBand="0" w:oddHBand="0" w:evenHBand="0" w:firstRowFirstColumn="0" w:firstRowLastColumn="0" w:lastRowFirstColumn="0" w:lastRowLastColumn="0"/>
            <w:tcW w:w="1562" w:type="pct"/>
            <w:noWrap/>
          </w:tcPr>
          <w:p w14:paraId="617763EE" w14:textId="77777777" w:rsidR="00A00972" w:rsidRPr="00426DD3" w:rsidRDefault="00A00972" w:rsidP="00426DD3">
            <w:pPr>
              <w:pStyle w:val="Tabelid"/>
              <w:rPr>
                <w:b w:val="0"/>
                <w:bCs/>
              </w:rPr>
            </w:pPr>
            <w:r w:rsidRPr="00426DD3">
              <w:rPr>
                <w:b w:val="0"/>
                <w:bCs/>
              </w:rPr>
              <w:t>Finantstulud</w:t>
            </w:r>
          </w:p>
        </w:tc>
        <w:tc>
          <w:tcPr>
            <w:tcW w:w="518" w:type="pct"/>
          </w:tcPr>
          <w:p w14:paraId="3C419813"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rPr>
                <w:sz w:val="20"/>
              </w:rPr>
            </w:pPr>
            <w:r w:rsidRPr="00050ACF">
              <w:t>198,8</w:t>
            </w:r>
          </w:p>
        </w:tc>
        <w:tc>
          <w:tcPr>
            <w:tcW w:w="472" w:type="pct"/>
          </w:tcPr>
          <w:p w14:paraId="3B73D8FC"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rPr>
                <w:sz w:val="20"/>
              </w:rPr>
            </w:pPr>
            <w:r w:rsidRPr="00050ACF">
              <w:t>110,7</w:t>
            </w:r>
          </w:p>
        </w:tc>
        <w:tc>
          <w:tcPr>
            <w:tcW w:w="614" w:type="pct"/>
            <w:noWrap/>
          </w:tcPr>
          <w:p w14:paraId="66580B58"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201,4</w:t>
            </w:r>
          </w:p>
        </w:tc>
        <w:tc>
          <w:tcPr>
            <w:tcW w:w="725" w:type="pct"/>
            <w:noWrap/>
          </w:tcPr>
          <w:p w14:paraId="5AB819F7"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245,8</w:t>
            </w:r>
          </w:p>
        </w:tc>
        <w:tc>
          <w:tcPr>
            <w:tcW w:w="673" w:type="pct"/>
            <w:noWrap/>
          </w:tcPr>
          <w:p w14:paraId="63C90141"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232,2</w:t>
            </w:r>
          </w:p>
        </w:tc>
        <w:tc>
          <w:tcPr>
            <w:tcW w:w="436" w:type="pct"/>
            <w:noWrap/>
          </w:tcPr>
          <w:p w14:paraId="3142035D" w14:textId="77777777" w:rsidR="00A00972" w:rsidRPr="00050ACF" w:rsidRDefault="00A00972" w:rsidP="00426DD3">
            <w:pPr>
              <w:pStyle w:val="Tabelid"/>
              <w:cnfStyle w:val="000000000000" w:firstRow="0" w:lastRow="0" w:firstColumn="0" w:lastColumn="0" w:oddVBand="0" w:evenVBand="0" w:oddHBand="0" w:evenHBand="0" w:firstRowFirstColumn="0" w:firstRowLastColumn="0" w:lastRowFirstColumn="0" w:lastRowLastColumn="0"/>
            </w:pPr>
            <w:r w:rsidRPr="00050ACF">
              <w:t>-13,6</w:t>
            </w:r>
          </w:p>
        </w:tc>
      </w:tr>
    </w:tbl>
    <w:p w14:paraId="135F7032" w14:textId="77777777" w:rsidR="00A00972" w:rsidRPr="007D5584" w:rsidRDefault="00A00972" w:rsidP="00A00972">
      <w:pPr>
        <w:pStyle w:val="Mrkus"/>
        <w:numPr>
          <w:ilvl w:val="0"/>
          <w:numId w:val="0"/>
        </w:numPr>
        <w:sectPr w:rsidR="00A00972" w:rsidRPr="007D5584" w:rsidSect="0093189D">
          <w:endnotePr>
            <w:numFmt w:val="decimal"/>
          </w:endnotePr>
          <w:type w:val="continuous"/>
          <w:pgSz w:w="11906" w:h="16838"/>
          <w:pgMar w:top="964" w:right="964" w:bottom="964" w:left="964" w:header="709" w:footer="709" w:gutter="0"/>
          <w:cols w:space="708"/>
          <w:docGrid w:linePitch="360"/>
        </w:sectPr>
      </w:pPr>
      <w:r w:rsidRPr="00050ACF">
        <w:t>Allikas: Rahandusministeerium</w:t>
      </w:r>
    </w:p>
    <w:p w14:paraId="447EE375" w14:textId="77777777" w:rsidR="009C20E1" w:rsidRPr="00414819" w:rsidRDefault="009C20E1" w:rsidP="009C20E1">
      <w:pPr>
        <w:pStyle w:val="Mrkus"/>
        <w:numPr>
          <w:ilvl w:val="0"/>
          <w:numId w:val="0"/>
        </w:numPr>
        <w:rPr>
          <w:highlight w:val="yellow"/>
        </w:rPr>
        <w:sectPr w:rsidR="009C20E1" w:rsidRPr="00414819" w:rsidSect="0093189D">
          <w:endnotePr>
            <w:numFmt w:val="decimal"/>
          </w:endnotePr>
          <w:type w:val="continuous"/>
          <w:pgSz w:w="11906" w:h="16838"/>
          <w:pgMar w:top="964" w:right="964" w:bottom="964" w:left="964" w:header="709" w:footer="709" w:gutter="0"/>
          <w:cols w:space="708"/>
          <w:docGrid w:linePitch="360"/>
        </w:sectPr>
      </w:pPr>
    </w:p>
    <w:p w14:paraId="1E526E9A" w14:textId="650A7A9C" w:rsidR="007D5584" w:rsidRDefault="007D5584" w:rsidP="007D5584">
      <w:pPr>
        <w:pStyle w:val="Phitekst"/>
      </w:pPr>
      <w:r w:rsidRPr="003A5580">
        <w:rPr>
          <w:b/>
          <w:bCs/>
        </w:rPr>
        <w:t>Kaupade ja teenuste müügi</w:t>
      </w:r>
      <w:r w:rsidRPr="003A5580">
        <w:t xml:space="preserve"> 2023. aasta laekumise prognoosi vähendati võrreldes kevadprognoosiga 4</w:t>
      </w:r>
      <w:r w:rsidR="008B0EAE">
        <w:t> </w:t>
      </w:r>
      <w:r w:rsidRPr="003A5580">
        <w:t xml:space="preserve">mln võrra 509,2 mln euroni riigilõivudest laekuva tulu arvel. Esimese poolaasta andmed on näidanud </w:t>
      </w:r>
      <w:r w:rsidRPr="003A5580">
        <w:t xml:space="preserve">isikut tõendavate dokumentide ning viisade väljastamist oodatust väiksemas mahus, mistõttu on ka riigilõivude prognoosi vähendatud. Alates järgmisest aastast hakkab kaupade ja teenuste </w:t>
      </w:r>
      <w:r w:rsidRPr="003A5580">
        <w:lastRenderedPageBreak/>
        <w:t>müügitulu vähenema tingituna heitmekvootide müügiprognoosi langusest. Põhilise osa selles tulugrupis moodustabki CO</w:t>
      </w:r>
      <w:r w:rsidRPr="003A5580">
        <w:rPr>
          <w:vertAlign w:val="subscript"/>
        </w:rPr>
        <w:t>2</w:t>
      </w:r>
      <w:r w:rsidRPr="003A5580">
        <w:t xml:space="preserve"> kvootide müügitulu, mida sel aastal laekub prognoositavalt 336 mln eurot ning järgmisel aastal 262 mln eurot. Varasema prognoosiga võrreldes väheneb laekumine nii madalama ühikuhinna kui vähenenud müügikoguste tõttu.  Märksa stabiilsemalt laekub tulu riigilõivudelt, prognoosiperioodi keskmine kasv on 0,4% aastas.</w:t>
      </w:r>
    </w:p>
    <w:p w14:paraId="466624F6" w14:textId="712B387F" w:rsidR="005D0ADE" w:rsidRDefault="005D0ADE" w:rsidP="005D0ADE">
      <w:pPr>
        <w:pStyle w:val="Phitekst"/>
      </w:pPr>
      <w:r w:rsidRPr="005D0ADE">
        <w:rPr>
          <w:rStyle w:val="Strong"/>
        </w:rPr>
        <w:t>Välistoetuste mahtu toetavad lähiaastatel ELi taastekava investeeringud ning 2021-2027 perioodi struktuurivahendite kasutamise edenemine.</w:t>
      </w:r>
      <w:r>
        <w:t xml:space="preserve"> Juuli lõpu seisuga on 56% uue perioodi struktuurivahendite mahu ehk 1,9 miljardi euro kasutamiseks vajalikud toetuse andmise tingimuste õigusaktid kinnitatud. Aasta lõpuks on eesmärk kinnitada 80% toetuse andmise tingimustest. Suurim saab välisvahendite maht prognoosi kohaselt olema aastatel 2024-2026, mil lisaks uue perioodi struktuurivahendite kasvavale kasutamisele on oodata taasterahastu kiiret kasutamist (eriti 2024-2025), Rail Balticu raudtee ehituse mahu suurenemist (eriti 2025-2026), Euroopa Rahurahastu toetust Eestile hüvitamaks osaliselt Ukrainale antud relvastust ja laskemoona ning suurenevad ka põllumajanduse otsetoetused. 2027.</w:t>
      </w:r>
      <w:r w:rsidR="008B0EAE">
        <w:t> </w:t>
      </w:r>
      <w:r>
        <w:t>aastal on oodata märkimisväärset välisvahendite kasutamise langust, eelkõige kuna Euroopa ühendamise rahastu erinevate taotlusvoorude toetus Rail Balticu ehituseks saab suuresti kasutatud just eelnevatel aastatel ning 2026. aastaga lõpeb EL taasterahastu kasutamise periood.</w:t>
      </w:r>
    </w:p>
    <w:p w14:paraId="266BA303" w14:textId="57A4B8FF" w:rsidR="005D0ADE" w:rsidRPr="003A5580" w:rsidRDefault="005D0ADE" w:rsidP="005D0ADE">
      <w:pPr>
        <w:pStyle w:val="Phitekst"/>
      </w:pPr>
      <w:r w:rsidRPr="005D0ADE">
        <w:rPr>
          <w:rStyle w:val="Strong"/>
        </w:rPr>
        <w:t>Võrreldes kevadprognoosiga on suurimad muutused Rail Balticu ehituse prognoosis</w:t>
      </w:r>
      <w:r>
        <w:t xml:space="preserve">, mil erinevalt kevadest ootame suuremat kasutamist aastatel 2024-2026, kui on oodata Euroopa </w:t>
      </w:r>
      <w:r>
        <w:t>ühendamise rahastu taotlusvoorudest suuremaid toetusi ja on plaan hankida võimalikult paljud Tallinn-Pärnu ehituslõigud. Sellest tulenevalt on 2027. a kasutamine oluliselt väiksem kui kevadel prognoositud. 2021-2027 perioodi struktuurivahendite kasutamine on küll kasvamas, kuid võrreldes kevadprognoosiga on siiski kasutamise prognoosi lähiaastateks vähendatud, kuna nüüdseks on seoses paljude toetuste andmise tingimuste kehtestamisega parem teadmine vahendite jagunemisest aastate vahel, sh peale prognoosiperioodi.</w:t>
      </w:r>
    </w:p>
    <w:p w14:paraId="1003DE8B" w14:textId="272EBACB" w:rsidR="007D5584" w:rsidRPr="005F254F" w:rsidRDefault="007D5584" w:rsidP="007D5584">
      <w:pPr>
        <w:pStyle w:val="Phitekst"/>
        <w:rPr>
          <w:bCs/>
        </w:rPr>
      </w:pPr>
      <w:r w:rsidRPr="005F254F">
        <w:rPr>
          <w:b/>
        </w:rPr>
        <w:t>Muude tulude</w:t>
      </w:r>
      <w:r w:rsidRPr="005F254F">
        <w:rPr>
          <w:bCs/>
        </w:rPr>
        <w:t xml:space="preserve"> 2023. aasta laekumise prognoos vähene</w:t>
      </w:r>
      <w:r w:rsidR="00A00972">
        <w:rPr>
          <w:bCs/>
        </w:rPr>
        <w:t>s</w:t>
      </w:r>
      <w:r w:rsidRPr="005F254F">
        <w:rPr>
          <w:bCs/>
        </w:rPr>
        <w:t xml:space="preserve"> kevadprognoosiga võrreldes 7,1 mln euro võra 229,7 mln euroni. Languse põhjuseks on keskkonnatasude vähenemine tulenevalt põlevkivi kaevandamiskoguste vähenemisest. Siia tulude gruppi kuuluvad tulud põhivara ja varude müügist (peamiselt riigimaa müük), trahvid ja muud varalised karistused, keskkonnatasud (tasud loodusressursside kasutamise eest ning saastetasud) ning muud tegevustulud (nt sunnirahad, konfiskeeritud varad ning muud eba</w:t>
      </w:r>
      <w:r w:rsidRPr="005F254F">
        <w:rPr>
          <w:bCs/>
        </w:rPr>
        <w:softHyphen/>
        <w:t>tavalised tulud).</w:t>
      </w:r>
    </w:p>
    <w:p w14:paraId="3C055641" w14:textId="526BF362" w:rsidR="00650BAB" w:rsidRPr="00414819" w:rsidRDefault="00A00972" w:rsidP="00771C8C">
      <w:pPr>
        <w:pStyle w:val="Phitekst"/>
        <w:rPr>
          <w:bCs/>
          <w:highlight w:val="yellow"/>
        </w:rPr>
      </w:pPr>
      <w:r w:rsidRPr="00050ACF">
        <w:rPr>
          <w:b/>
        </w:rPr>
        <w:t>Finantstulude</w:t>
      </w:r>
      <w:r w:rsidRPr="00050ACF">
        <w:rPr>
          <w:bCs/>
        </w:rPr>
        <w:t xml:space="preserve"> 2023. aasta laekumise prognoos vähenes võrreldes kevadprognoosiga 13,6 mln euro võrra 232,2 mln eurole intressitulude vähenemise tõttu.</w:t>
      </w:r>
      <w:r w:rsidR="007D5584" w:rsidRPr="005F254F">
        <w:rPr>
          <w:bCs/>
        </w:rPr>
        <w:t xml:space="preserve"> Finantstulud koosnevad peamiselt omanikutuludest (dividendid ja Eesti Panga kasumieraldis), kuid ka Riigi</w:t>
      </w:r>
      <w:r w:rsidR="007D5584" w:rsidRPr="005F254F">
        <w:rPr>
          <w:bCs/>
        </w:rPr>
        <w:softHyphen/>
        <w:t>kassale laekuvatest intressituludest. Peamised omanikutulu maksjad sel aastal on Eesti Energia AS, RMK, Riigi Kinnisvara AS, AS Tallinna Sadam, AS Eesti Loto ja Elering AS. Keeruliste majandusolude tõttu on oodata kasumite vähenemist, mis vähendab järgmise aasta dividenditulusid 169 mln euroni.</w:t>
      </w:r>
    </w:p>
    <w:p w14:paraId="02145D3F" w14:textId="77777777" w:rsidR="00650BAB" w:rsidRPr="00414819" w:rsidRDefault="00650BAB" w:rsidP="00667CAF">
      <w:pPr>
        <w:pStyle w:val="Phitekst"/>
        <w:rPr>
          <w:highlight w:val="yellow"/>
        </w:rPr>
        <w:sectPr w:rsidR="00650BAB" w:rsidRPr="00414819" w:rsidSect="00DF7023">
          <w:endnotePr>
            <w:numFmt w:val="decimal"/>
          </w:endnotePr>
          <w:type w:val="continuous"/>
          <w:pgSz w:w="11906" w:h="16838"/>
          <w:pgMar w:top="964" w:right="964" w:bottom="964" w:left="964" w:header="709" w:footer="709" w:gutter="0"/>
          <w:cols w:num="2" w:space="708"/>
          <w:docGrid w:linePitch="360"/>
        </w:sectPr>
      </w:pPr>
    </w:p>
    <w:p w14:paraId="33BCB079" w14:textId="77777777" w:rsidR="009B328C" w:rsidRPr="00414819" w:rsidRDefault="009B328C" w:rsidP="000273A1">
      <w:pPr>
        <w:spacing w:after="0"/>
        <w:rPr>
          <w:highlight w:val="yellow"/>
        </w:rPr>
      </w:pPr>
      <w:bookmarkStart w:id="137" w:name="_Toc64844964"/>
      <w:bookmarkStart w:id="138" w:name="_Toc64845526"/>
      <w:bookmarkStart w:id="139" w:name="_Toc64845762"/>
      <w:bookmarkStart w:id="140" w:name="_Toc64845824"/>
      <w:bookmarkStart w:id="141" w:name="_Toc64847521"/>
      <w:bookmarkStart w:id="142" w:name="_Toc64847612"/>
      <w:bookmarkStart w:id="143" w:name="_Toc64847682"/>
      <w:bookmarkStart w:id="144" w:name="_Toc64847772"/>
      <w:bookmarkStart w:id="145" w:name="_Toc64847834"/>
      <w:bookmarkStart w:id="146" w:name="_Toc64847896"/>
      <w:bookmarkStart w:id="147" w:name="_Toc64844979"/>
      <w:bookmarkStart w:id="148" w:name="_Toc64845541"/>
      <w:bookmarkStart w:id="149" w:name="_Toc64845777"/>
      <w:bookmarkStart w:id="150" w:name="_Toc64845839"/>
      <w:bookmarkStart w:id="151" w:name="_Toc64847536"/>
      <w:bookmarkStart w:id="152" w:name="_Toc64847627"/>
      <w:bookmarkStart w:id="153" w:name="_Toc64847697"/>
      <w:bookmarkStart w:id="154" w:name="_Toc64847787"/>
      <w:bookmarkStart w:id="155" w:name="_Toc64847849"/>
      <w:bookmarkStart w:id="156" w:name="_Toc64847911"/>
      <w:bookmarkStart w:id="157" w:name="_Toc64504570"/>
      <w:bookmarkStart w:id="158" w:name="_Toc18917274"/>
      <w:bookmarkStart w:id="159" w:name="_Toc62631846"/>
      <w:bookmarkStart w:id="160" w:name="_Toc68514343"/>
      <w:bookmarkStart w:id="161" w:name="_Toc51061527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bookmarkEnd w:id="157"/>
    <w:bookmarkEnd w:id="158"/>
    <w:bookmarkEnd w:id="159"/>
    <w:bookmarkEnd w:id="160"/>
    <w:bookmarkEnd w:id="161"/>
    <w:p w14:paraId="568A90B7" w14:textId="4E97C2E7" w:rsidR="00650BAB" w:rsidRPr="00414819" w:rsidRDefault="00650BAB" w:rsidP="00667CAF">
      <w:pPr>
        <w:pStyle w:val="Phitekst"/>
        <w:rPr>
          <w:strike/>
          <w:color w:val="FF0000"/>
          <w:highlight w:val="yellow"/>
        </w:rPr>
        <w:sectPr w:rsidR="00650BAB" w:rsidRPr="00414819" w:rsidSect="00DF7023">
          <w:footerReference w:type="default" r:id="rId43"/>
          <w:endnotePr>
            <w:numFmt w:val="decimal"/>
          </w:endnotePr>
          <w:type w:val="continuous"/>
          <w:pgSz w:w="11906" w:h="16838"/>
          <w:pgMar w:top="964" w:right="964" w:bottom="964" w:left="964" w:header="709" w:footer="709" w:gutter="0"/>
          <w:cols w:num="2" w:space="708"/>
          <w:docGrid w:linePitch="360"/>
        </w:sectPr>
      </w:pPr>
    </w:p>
    <w:p w14:paraId="4452BB13" w14:textId="1864FED5" w:rsidR="00C74FB5" w:rsidRPr="00414819" w:rsidRDefault="00C74FB5" w:rsidP="00C74FB5">
      <w:pPr>
        <w:rPr>
          <w:strike/>
          <w:highlight w:val="yellow"/>
        </w:rPr>
        <w:sectPr w:rsidR="00C74FB5" w:rsidRPr="00414819" w:rsidSect="0032671F">
          <w:endnotePr>
            <w:numFmt w:val="decimal"/>
          </w:endnotePr>
          <w:type w:val="continuous"/>
          <w:pgSz w:w="11906" w:h="16838"/>
          <w:pgMar w:top="964" w:right="964" w:bottom="964" w:left="964" w:header="709" w:footer="709" w:gutter="0"/>
          <w:cols w:space="708"/>
          <w:docGrid w:linePitch="360"/>
        </w:sectPr>
      </w:pPr>
    </w:p>
    <w:p w14:paraId="246F9877" w14:textId="77777777" w:rsidR="00C92226" w:rsidRPr="00414819" w:rsidRDefault="00C92226">
      <w:pPr>
        <w:rPr>
          <w:rFonts w:eastAsiaTheme="majorEastAsia" w:cstheme="majorBidi"/>
          <w:b/>
          <w:strike/>
          <w:sz w:val="26"/>
          <w:szCs w:val="26"/>
          <w:highlight w:val="yellow"/>
        </w:rPr>
      </w:pPr>
      <w:r w:rsidRPr="00414819">
        <w:rPr>
          <w:strike/>
          <w:highlight w:val="yellow"/>
        </w:rPr>
        <w:br w:type="page"/>
      </w:r>
    </w:p>
    <w:p w14:paraId="5378C2FD" w14:textId="62E27356" w:rsidR="00A05E1B" w:rsidRPr="00A45410" w:rsidRDefault="00CF74C1" w:rsidP="00E66452">
      <w:pPr>
        <w:pStyle w:val="Heading2"/>
      </w:pPr>
      <w:bookmarkStart w:id="162" w:name="_Toc143775506"/>
      <w:r w:rsidRPr="00A45410">
        <w:lastRenderedPageBreak/>
        <w:t>VALITSUSSEKTORI KULUD</w:t>
      </w:r>
      <w:bookmarkEnd w:id="103"/>
      <w:r w:rsidR="00630E72" w:rsidRPr="00A45410">
        <w:t>E PROGNOOS</w:t>
      </w:r>
      <w:bookmarkEnd w:id="162"/>
    </w:p>
    <w:bookmarkEnd w:id="104"/>
    <w:bookmarkEnd w:id="105"/>
    <w:bookmarkEnd w:id="106"/>
    <w:p w14:paraId="42BEC707" w14:textId="77777777" w:rsidR="00D701E3" w:rsidRPr="00A45410" w:rsidRDefault="00D701E3" w:rsidP="00E66452">
      <w:pPr>
        <w:pStyle w:val="Alapunkt"/>
        <w:rPr>
          <w:b/>
        </w:rPr>
        <w:sectPr w:rsidR="00D701E3" w:rsidRPr="00A45410" w:rsidSect="0032671F">
          <w:endnotePr>
            <w:numFmt w:val="decimal"/>
          </w:endnotePr>
          <w:type w:val="continuous"/>
          <w:pgSz w:w="11906" w:h="16838"/>
          <w:pgMar w:top="964" w:right="964" w:bottom="964" w:left="964" w:header="709" w:footer="709" w:gutter="0"/>
          <w:cols w:space="708"/>
          <w:docGrid w:linePitch="360"/>
        </w:sectPr>
      </w:pPr>
    </w:p>
    <w:p w14:paraId="41599554" w14:textId="2365D91B" w:rsidR="00456432" w:rsidRPr="00050ACF" w:rsidRDefault="00A45410" w:rsidP="00456432">
      <w:pPr>
        <w:pStyle w:val="Alapunkt"/>
        <w:sectPr w:rsidR="00456432" w:rsidRPr="00050ACF" w:rsidSect="006E6E85">
          <w:footerReference w:type="default" r:id="rId44"/>
          <w:footerReference w:type="first" r:id="rId45"/>
          <w:endnotePr>
            <w:numFmt w:val="decimal"/>
          </w:endnotePr>
          <w:type w:val="continuous"/>
          <w:pgSz w:w="11906" w:h="16838"/>
          <w:pgMar w:top="964" w:right="964" w:bottom="964" w:left="964" w:header="709" w:footer="709" w:gutter="0"/>
          <w:cols w:space="708"/>
          <w:docGrid w:linePitch="360"/>
        </w:sectPr>
      </w:pPr>
      <w:r w:rsidRPr="00050ACF">
        <w:t>Riigi kulude tase kasvab riigikaitse, hariduse ja sotsiaalkaitse valdkonna eesmärkide tõttu</w:t>
      </w:r>
      <w:r w:rsidR="00451A33" w:rsidRPr="00050ACF">
        <w:t>.</w:t>
      </w:r>
    </w:p>
    <w:p w14:paraId="3E4E8DE8" w14:textId="6C68BADB" w:rsidR="00A45410" w:rsidRPr="00050ACF" w:rsidRDefault="00067816" w:rsidP="00050ACF">
      <w:pPr>
        <w:pStyle w:val="Phitekst"/>
      </w:pPr>
      <w:bookmarkStart w:id="163" w:name="_Ref100182400"/>
      <w:bookmarkStart w:id="164" w:name="_Toc100230274"/>
      <w:r w:rsidRPr="00050ACF">
        <w:rPr>
          <w:rStyle w:val="Strong"/>
        </w:rPr>
        <w:t xml:space="preserve">Valitsussektori </w:t>
      </w:r>
      <w:r w:rsidRPr="00C04512">
        <w:rPr>
          <w:rStyle w:val="Strong"/>
        </w:rPr>
        <w:t>kulude osakaal SKPst püsib keskmisest tasemest kõrgemal kuni prognoosiperioodi lõpuni.</w:t>
      </w:r>
      <w:r w:rsidRPr="00C04512">
        <w:t xml:space="preserve"> Valitsussektori kulude osakaal SKPst 2023. aastal eelneva aastaga võrreldes kasvab ja püsib kuni prognoosiperioodi lõpuni kõrgemal kui 2022. aasta kulude osakaal SKPst</w:t>
      </w:r>
      <w:r w:rsidR="00A45410" w:rsidRPr="00C04512">
        <w:t>. 2022</w:t>
      </w:r>
      <w:r w:rsidR="00A45410" w:rsidRPr="00050ACF">
        <w:t>.</w:t>
      </w:r>
      <w:r w:rsidR="008B0EAE">
        <w:t> </w:t>
      </w:r>
      <w:r w:rsidR="00A45410" w:rsidRPr="00050ACF">
        <w:t xml:space="preserve">aastal moodustasid Eesti valitsussektori kulud 39,6% SKPst, mis jääb 10,1 protsendipunktiga alla Euroopa Liidu keskmisele </w:t>
      </w:r>
      <w:r w:rsidR="00A45410" w:rsidRPr="00C04512">
        <w:t xml:space="preserve">tasemele (vt </w:t>
      </w:r>
      <w:r w:rsidR="00A45410" w:rsidRPr="00C04512">
        <w:fldChar w:fldCharType="begin"/>
      </w:r>
      <w:r w:rsidR="00A45410" w:rsidRPr="00C04512">
        <w:instrText xml:space="preserve"> REF _Ref100182344 \h  \* MERGEFORMAT </w:instrText>
      </w:r>
      <w:r w:rsidR="00A45410" w:rsidRPr="00C04512">
        <w:fldChar w:fldCharType="separate"/>
      </w:r>
      <w:r w:rsidR="00A377C1" w:rsidRPr="001D6947">
        <w:t xml:space="preserve">Joonis </w:t>
      </w:r>
      <w:r w:rsidR="00A377C1">
        <w:t>24</w:t>
      </w:r>
      <w:r w:rsidR="00A45410" w:rsidRPr="00C04512">
        <w:fldChar w:fldCharType="end"/>
      </w:r>
      <w:r w:rsidR="00A45410" w:rsidRPr="00C04512">
        <w:t>, Lisa</w:t>
      </w:r>
      <w:r w:rsidR="008B0EAE">
        <w:t> </w:t>
      </w:r>
      <w:r w:rsidR="00C04512">
        <w:t>3</w:t>
      </w:r>
      <w:r w:rsidR="00A45410" w:rsidRPr="00050ACF">
        <w:t>). 2023. aasta kulud kasvavad (vt</w:t>
      </w:r>
      <w:r w:rsidR="00A377C1">
        <w:t xml:space="preserve"> </w:t>
      </w:r>
      <w:r w:rsidR="00A377C1">
        <w:fldChar w:fldCharType="begin"/>
      </w:r>
      <w:r w:rsidR="00A377C1">
        <w:instrText xml:space="preserve"> REF _Ref131626217 \h </w:instrText>
      </w:r>
      <w:r w:rsidR="00A377C1">
        <w:fldChar w:fldCharType="separate"/>
      </w:r>
      <w:r w:rsidR="00A377C1" w:rsidRPr="00050ACF">
        <w:t xml:space="preserve">Joonis </w:t>
      </w:r>
      <w:r w:rsidR="00A377C1">
        <w:rPr>
          <w:noProof/>
        </w:rPr>
        <w:t>17</w:t>
      </w:r>
      <w:r w:rsidR="00A377C1">
        <w:fldChar w:fldCharType="end"/>
      </w:r>
      <w:r w:rsidR="00A45410" w:rsidRPr="00050ACF">
        <w:t>) julgeolekuvõimekuse parandamiseks tehtavate lisakulutuste, vanaduspensionide ja peretoetuste ning uuest rahastusperioodist tulenevate suuremahuliste tegevustoetuste ning investeeringute tõttu. Alates 2024. aastast väheneb valitsussektori kulude kasvu kiirus oluliselt, kuid kulude osakaal SKPs jääb ületama kriisieelset 2019.</w:t>
      </w:r>
      <w:r w:rsidR="008B0EAE">
        <w:t> </w:t>
      </w:r>
      <w:r w:rsidR="00A45410" w:rsidRPr="00050ACF">
        <w:t>aasta taset (</w:t>
      </w:r>
      <w:r w:rsidR="00A377C1">
        <w:fldChar w:fldCharType="begin"/>
      </w:r>
      <w:r w:rsidR="00A377C1">
        <w:instrText xml:space="preserve"> REF _Ref131626217 \h </w:instrText>
      </w:r>
      <w:r w:rsidR="00A377C1">
        <w:fldChar w:fldCharType="separate"/>
      </w:r>
      <w:r w:rsidR="00A377C1" w:rsidRPr="00050ACF">
        <w:t xml:space="preserve">Joonis </w:t>
      </w:r>
      <w:r w:rsidR="00A377C1">
        <w:rPr>
          <w:noProof/>
        </w:rPr>
        <w:t>17</w:t>
      </w:r>
      <w:r w:rsidR="00A377C1">
        <w:fldChar w:fldCharType="end"/>
      </w:r>
      <w:r w:rsidR="00A45410" w:rsidRPr="00050ACF">
        <w:t>). Keskmine valitsussektori kulude kasv aastatel 2024–2027 on 4,8% aastas, mis jääb aeglasemaks nominaalse SKP 5,4%st keskmisest kasvust antud perioodil.</w:t>
      </w:r>
    </w:p>
    <w:p w14:paraId="2E1B0791" w14:textId="6C0FA777" w:rsidR="00D179D6" w:rsidRPr="00050ACF" w:rsidRDefault="00D179D6" w:rsidP="00050ACF">
      <w:pPr>
        <w:pStyle w:val="Phitekst"/>
      </w:pPr>
      <w:r w:rsidRPr="00050ACF">
        <w:t xml:space="preserve">Valitsussektori tulude ja kulude prognoos on toodud lisas (vt </w:t>
      </w:r>
      <w:r w:rsidRPr="00050ACF">
        <w:fldChar w:fldCharType="begin"/>
      </w:r>
      <w:r w:rsidRPr="00050ACF">
        <w:instrText xml:space="preserve"> REF _Ref81862905 \h  \* MERGEFORMAT </w:instrText>
      </w:r>
      <w:r w:rsidRPr="00050ACF">
        <w:fldChar w:fldCharType="separate"/>
      </w:r>
      <w:r w:rsidR="00A377C1" w:rsidRPr="001D6947">
        <w:t xml:space="preserve">Tabel </w:t>
      </w:r>
      <w:r w:rsidR="00A377C1">
        <w:t>13</w:t>
      </w:r>
      <w:r w:rsidRPr="00050ACF">
        <w:fldChar w:fldCharType="end"/>
      </w:r>
      <w:r w:rsidRPr="00050ACF">
        <w:t>).</w:t>
      </w:r>
    </w:p>
    <w:p w14:paraId="5DFE0836" w14:textId="0F94137A" w:rsidR="00D179D6" w:rsidRPr="00050ACF" w:rsidRDefault="00D179D6" w:rsidP="00D179D6">
      <w:pPr>
        <w:pStyle w:val="Caption"/>
      </w:pPr>
      <w:bookmarkStart w:id="165" w:name="_Ref131626217"/>
      <w:bookmarkStart w:id="166" w:name="_Toc143775532"/>
      <w:r w:rsidRPr="00050ACF">
        <w:t xml:space="preserve">Joonis </w:t>
      </w:r>
      <w:r w:rsidR="004C0EAE">
        <w:fldChar w:fldCharType="begin"/>
      </w:r>
      <w:r w:rsidR="004C0EAE">
        <w:instrText xml:space="preserve"> SEQ Joonis \* ARABIC </w:instrText>
      </w:r>
      <w:r w:rsidR="004C0EAE">
        <w:fldChar w:fldCharType="separate"/>
      </w:r>
      <w:r w:rsidR="00C5527F">
        <w:rPr>
          <w:noProof/>
        </w:rPr>
        <w:t>17</w:t>
      </w:r>
      <w:r w:rsidR="004C0EAE">
        <w:rPr>
          <w:noProof/>
        </w:rPr>
        <w:fldChar w:fldCharType="end"/>
      </w:r>
      <w:bookmarkEnd w:id="165"/>
      <w:r w:rsidRPr="00050ACF">
        <w:t>. Valitsussektori kogukulud (% SKPs) ja kulude aastane muutus</w:t>
      </w:r>
      <w:bookmarkEnd w:id="166"/>
    </w:p>
    <w:p w14:paraId="758DE4D8" w14:textId="02B95648" w:rsidR="00D179D6" w:rsidRPr="00050ACF" w:rsidRDefault="00A45410" w:rsidP="00D179D6">
      <w:pPr>
        <w:rPr>
          <w:rFonts w:ascii="Roboto" w:hAnsi="Roboto"/>
        </w:rPr>
      </w:pPr>
      <w:r w:rsidRPr="00050ACF">
        <w:rPr>
          <w:noProof/>
        </w:rPr>
        <w:drawing>
          <wp:inline distT="0" distB="0" distL="0" distR="0" wp14:anchorId="1B2FB02C" wp14:editId="5CFA662E">
            <wp:extent cx="2943225" cy="2055137"/>
            <wp:effectExtent l="0" t="0" r="0" b="0"/>
            <wp:docPr id="1715851538" name="Diagramm 1">
              <a:extLst xmlns:a="http://schemas.openxmlformats.org/drawingml/2006/main">
                <a:ext uri="{FF2B5EF4-FFF2-40B4-BE49-F238E27FC236}">
                  <a16:creationId xmlns:a16="http://schemas.microsoft.com/office/drawing/2014/main" id="{00000000-0008-0000-0100-00004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F911B84" w14:textId="71F36FB4" w:rsidR="00D179D6" w:rsidRPr="00050ACF" w:rsidRDefault="00067816" w:rsidP="00050ACF">
      <w:pPr>
        <w:pStyle w:val="Phitekst"/>
      </w:pPr>
      <w:r w:rsidRPr="00050ACF">
        <w:rPr>
          <w:rStyle w:val="Strong"/>
        </w:rPr>
        <w:t xml:space="preserve">2023. aastal </w:t>
      </w:r>
      <w:r w:rsidRPr="00C04512">
        <w:rPr>
          <w:rStyle w:val="Strong"/>
        </w:rPr>
        <w:t>kasvavad enim sotsiaaltoetused, hüvitised töötajatele ja vahetarbimine.</w:t>
      </w:r>
      <w:r w:rsidRPr="00C04512">
        <w:t xml:space="preserve"> Valitsussektori kulud kasvavad käesoleval aastal 2,44 miljardi euro võrra ehk kasvutempoga 17,1% aastas, millest moodustavad sotsiaalsiirded 679 miljonit eurot, hüvitised töötajatele 670 miljonit eurot ja vahetarbimine 488 miljonit eurot. Lisaks kasvavad ka intressikulud 174,4 miljonit eurot ja antud tegevustoetused 165,1 miljonit eurot. </w:t>
      </w:r>
      <w:r w:rsidRPr="00C04512">
        <w:t>Sotsiaalsiiretest suurenevad sel aastal enim</w:t>
      </w:r>
      <w:r w:rsidRPr="00050ACF">
        <w:t xml:space="preserve"> riiklikud pensionid, peretoetused, töövõimetoetus, Tervisekass</w:t>
      </w:r>
      <w:r w:rsidR="00483C8C" w:rsidRPr="00050ACF">
        <w:t>a kulud ravimite hüvitamiseks, raviteenusteks ja meditsiiniliste abivahendite hüvitamiseks. Subsiidiumide tase langeb 2023.</w:t>
      </w:r>
      <w:r w:rsidR="008B0EAE">
        <w:t> </w:t>
      </w:r>
      <w:r w:rsidR="00483C8C" w:rsidRPr="00050ACF">
        <w:t>aastal energiahinna toetusmeetmete väiksema kasutuse tõttu. 2022. aastal hüvitati energiakulusid kodutarbijatele ja ettevõtetele ca 181</w:t>
      </w:r>
      <w:r w:rsidR="008B0EAE">
        <w:t> </w:t>
      </w:r>
      <w:r w:rsidR="00483C8C" w:rsidRPr="00050ACF">
        <w:t>miljoni euro ulatuses, kuid 2023. aasta aprilli lõpuks vaid ca</w:t>
      </w:r>
      <w:r w:rsidR="008B0EAE">
        <w:t> </w:t>
      </w:r>
      <w:r w:rsidR="00483C8C" w:rsidRPr="00050ACF">
        <w:t>47</w:t>
      </w:r>
      <w:r w:rsidR="008B0EAE">
        <w:t> </w:t>
      </w:r>
      <w:r w:rsidR="00483C8C" w:rsidRPr="00050ACF">
        <w:t>miljonit eurot. Välistoetuseid planeeritakse kasutada ja vahendada valitsussektori konsolideeritud vaates käesoleval aastal 342 miljoni euro võrra rohkem kui eelneval aastal, mille tõttu kasvavad ka kapitali kogumahutus ja kapitalisiirded.</w:t>
      </w:r>
    </w:p>
    <w:p w14:paraId="254D3ED2" w14:textId="41186602" w:rsidR="00483C8C" w:rsidRPr="00050ACF" w:rsidRDefault="00483C8C" w:rsidP="00050ACF">
      <w:pPr>
        <w:pStyle w:val="Phitekst"/>
      </w:pPr>
      <w:r w:rsidRPr="00050ACF">
        <w:rPr>
          <w:rStyle w:val="Strong"/>
        </w:rPr>
        <w:t>Välisvahendite kasutamine tegevuskuludeks ja investeeringuteks on valitsussektoris prognoosiperioodil kõige suurem 2025. aastal.</w:t>
      </w:r>
      <w:r w:rsidRPr="00050ACF">
        <w:t xml:space="preserve"> Käesoleval aastal on välisvahendite kasutust võrreldes kevadprognoosiga vähendatud  129</w:t>
      </w:r>
      <w:r w:rsidR="008B0EAE">
        <w:t> </w:t>
      </w:r>
      <w:r w:rsidRPr="00050ACF">
        <w:t>miljoni euro võrra. Kõige väiksem on  välisvahendite planeeritud kasutamise maht 2027.</w:t>
      </w:r>
      <w:r w:rsidR="008B0EAE">
        <w:t> </w:t>
      </w:r>
      <w:r w:rsidRPr="00050ACF">
        <w:t>aastal Taastekava investeeringute lõppemise tõttu. Võrreldes kevadprognoosiga on 2027. aastal välisvahendite kasutust valitsussektoris vähendatud 202 miljoni euro võrra.</w:t>
      </w:r>
    </w:p>
    <w:p w14:paraId="3FEB71CD" w14:textId="613711B6" w:rsidR="00483C8C" w:rsidRPr="00050ACF" w:rsidRDefault="00483C8C" w:rsidP="00050ACF">
      <w:pPr>
        <w:pStyle w:val="Phitekst"/>
      </w:pPr>
      <w:r w:rsidRPr="00050ACF">
        <w:rPr>
          <w:rStyle w:val="Strong"/>
        </w:rPr>
        <w:t>Sotsiaaltoetused kasvavad prognoosi</w:t>
      </w:r>
      <w:r w:rsidRPr="00050ACF">
        <w:rPr>
          <w:rStyle w:val="Strong"/>
        </w:rPr>
        <w:softHyphen/>
        <w:t>perioodil peamiselt vanaduspensioni, peretoetuste, töövõimetoetuse ja vanemahüvitise suurenemise tõttu.</w:t>
      </w:r>
      <w:r w:rsidRPr="00050ACF">
        <w:t xml:space="preserve"> Üle poole sotsiaaltoetuste aastasest kasvust, täpsemalt 370,5 miljonit eurot, moodustavad 2023.</w:t>
      </w:r>
      <w:r w:rsidR="008B0EAE">
        <w:t> </w:t>
      </w:r>
      <w:r w:rsidRPr="00050ACF">
        <w:t>aastal riiklikud pensionid. 2023. aasta 1.</w:t>
      </w:r>
      <w:r w:rsidR="008B0EAE">
        <w:t> </w:t>
      </w:r>
      <w:r w:rsidRPr="00050ACF">
        <w:t>jaanuari</w:t>
      </w:r>
      <w:r w:rsidR="00067816">
        <w:t>l</w:t>
      </w:r>
      <w:r w:rsidRPr="00050ACF">
        <w:t xml:space="preserve"> toimus erakorraline pensionitõus, millega suurendati baasosa 20 euro võrra ja hakkas kehtima tulumaksuvabastus 704 eurot kõigile pensioniealistele ehk keskmine pension muutus tulumaksuvabaks. Riikliku vanaduspensioni keskmine suurenemine on perioodil 2024-2027 aastas 279,9 miljonit eurot peamiselt pensioniindeksi kasvu tõttu. Riiklike pensionide tõusule järgnevad osatähtsuselt peretoetused, mis suurenevad 2023. aastal 2022. aastaga võrreldes 167,8 miljoni euro võrra. 2023. aasta eelarvet suurendati selleks, et esimese ja teise lapse toetus ning üksikvanema lapsetoetus tõsta 80 euroni. Kolme kuni kuue lapsega pere igakuine toetus tõusis 650 euroni ning seitsme ja enama lapsega pere </w:t>
      </w:r>
      <w:r w:rsidRPr="00050ACF">
        <w:lastRenderedPageBreak/>
        <w:t xml:space="preserve">toetus 850 euroni. Peretoetused on vähenenud võrreldes kevadprognoosiga perioodil 2024-2027 kokku 450,2 miljoni euro võrra, kuna seadusemuudatuse kohaselt alates 2024. aasta 1. </w:t>
      </w:r>
      <w:r w:rsidRPr="00C04512">
        <w:t xml:space="preserve">jaanuarist maksab sotsiaalkindlustusamet lasterikka </w:t>
      </w:r>
      <w:r w:rsidR="00067816" w:rsidRPr="00C04512">
        <w:t>pere toetust 3–6 lapse puhul varasema 650 euro asemel 450 eurot kuus ning 7 ja enama lapse puhul 850 euro asemel 650 eurot kuus ja lõpetatakse lasterikka pere toetuse maksmisest sujuv väljumine</w:t>
      </w:r>
      <w:r w:rsidRPr="00C04512">
        <w:t>.</w:t>
      </w:r>
      <w:r w:rsidRPr="00050ACF">
        <w:t xml:space="preserve"> Lisaks loobutakse ka 01.05.2024 jõustuma pidanud lasterikka pere toetuse pensioniindeksiga indekseerimisest. Peretoetuste kasvule järgneb 2023. aastal mahult töövõimetoetuse ja vanemahüvitise suurenemine. Töövõimetoetuse päevamäär tõuseb riikliku pensioniindeksi järgi. Vanemahüvitis suureneb keskmise palga ja alampalga muutuste tõttu. Vaatamata peretoetuste prognoosi vähenemisele on suurenenud valitsussektori sotsiaaltoetuste prognoos võrreldes kevadega kõikidel aastatel välja arvatud 2024. aastal, mil vähenemine on mahus 0,2 miljonit eurot. Riiklike pensionide, töövõimetoetuse ja töötutoetuse prognoositav suurenemine ületab  peretoetuste langust.</w:t>
      </w:r>
    </w:p>
    <w:p w14:paraId="70B0CF44" w14:textId="0331309C" w:rsidR="00483C8C" w:rsidRPr="00050ACF" w:rsidRDefault="00483C8C" w:rsidP="00050ACF">
      <w:pPr>
        <w:pStyle w:val="Phitekst"/>
      </w:pPr>
      <w:r w:rsidRPr="00050ACF">
        <w:rPr>
          <w:rStyle w:val="Strong"/>
        </w:rPr>
        <w:t xml:space="preserve">Valitsussektori </w:t>
      </w:r>
      <w:r w:rsidRPr="00C04512">
        <w:rPr>
          <w:rStyle w:val="Strong"/>
        </w:rPr>
        <w:t xml:space="preserve">hüvitised töötajatele kasvavad 2023. aastal 17,8% </w:t>
      </w:r>
      <w:r w:rsidR="00067816" w:rsidRPr="00C04512">
        <w:rPr>
          <w:rStyle w:val="Strong"/>
        </w:rPr>
        <w:t xml:space="preserve">peamiselt </w:t>
      </w:r>
      <w:r w:rsidRPr="00C04512">
        <w:rPr>
          <w:rStyle w:val="Strong"/>
        </w:rPr>
        <w:t>riigieelarves otsustatud palgatõusude tulemusel.</w:t>
      </w:r>
      <w:r w:rsidRPr="00C04512">
        <w:t xml:space="preserve"> Valitsussektori hüvitised töötajatele, millest peamise osa moodustavad palgakulud, osatähtsus SKPst jääb kogu prognoosiperioodi ajal kõrgemaks kui 2022.</w:t>
      </w:r>
      <w:r w:rsidR="008B0EAE">
        <w:t> </w:t>
      </w:r>
      <w:r w:rsidRPr="00C04512">
        <w:t>aasta tase, milleks oli 10,4% SKPst, 2023.</w:t>
      </w:r>
      <w:r w:rsidR="008B0EAE">
        <w:t> </w:t>
      </w:r>
      <w:r w:rsidRPr="00C04512">
        <w:t>aastal avalik</w:t>
      </w:r>
      <w:r w:rsidR="00067816" w:rsidRPr="00C04512">
        <w:t>u</w:t>
      </w:r>
      <w:r w:rsidRPr="00C04512">
        <w:t xml:space="preserve"> sektori töötajate palgafondi suurendamise tõttu. </w:t>
      </w:r>
      <w:r w:rsidR="00067816" w:rsidRPr="00C04512">
        <w:t>Samas hüvitised töötajatele keskmine aastane kasv perioodil 2024–2027</w:t>
      </w:r>
      <w:r w:rsidR="00067816" w:rsidRPr="00050ACF">
        <w:t xml:space="preserve"> on 4,0%, </w:t>
      </w:r>
      <w:r w:rsidRPr="00050ACF">
        <w:t xml:space="preserve">mis jääb alla nii riigi nominaalsete palkade aastasele kasvutempole 5,3% kui ka keskmisele nominaalse SKP kasvule 5,4%. Võrreldes kevadprognoosiga on hüvitised töötajatele kasvanud kõigil valitsussektori tasanditel. Hüvitised töötajatele näitaja hõlmab ka erijuhtudel riigi poolt makstavat sotsiaalmaksu, päevarahasid, riigisaladusega seotud kulusid, eripensioneid, täiendavaid </w:t>
      </w:r>
      <w:proofErr w:type="spellStart"/>
      <w:r w:rsidRPr="00050ACF">
        <w:t>kogumispensionimakseid</w:t>
      </w:r>
      <w:proofErr w:type="spellEnd"/>
      <w:r w:rsidRPr="00050ACF">
        <w:t xml:space="preserve"> ja töötuskindlustus-hüvitistelt arvestatud sotsiaalmaksu.</w:t>
      </w:r>
    </w:p>
    <w:p w14:paraId="55737B9D" w14:textId="7653BF09" w:rsidR="00ED68AD" w:rsidRPr="00050ACF" w:rsidRDefault="00ED68AD" w:rsidP="00050ACF">
      <w:pPr>
        <w:pStyle w:val="Phitekst"/>
      </w:pPr>
      <w:r w:rsidRPr="00050ACF">
        <w:rPr>
          <w:rStyle w:val="Strong"/>
        </w:rPr>
        <w:t xml:space="preserve">Vahetarbimine, peamiselt majandamiskulud, saavutab 2023. aastal </w:t>
      </w:r>
      <w:r w:rsidRPr="00023865">
        <w:rPr>
          <w:rStyle w:val="Strong"/>
        </w:rPr>
        <w:t>osakaaluna SKPs</w:t>
      </w:r>
      <w:r w:rsidR="00067816" w:rsidRPr="00023865">
        <w:rPr>
          <w:rStyle w:val="Strong"/>
        </w:rPr>
        <w:t>t</w:t>
      </w:r>
      <w:r w:rsidRPr="00023865">
        <w:rPr>
          <w:rStyle w:val="Strong"/>
        </w:rPr>
        <w:t xml:space="preserve"> maksimaalse taseme – 7,3%.</w:t>
      </w:r>
      <w:r w:rsidRPr="00023865">
        <w:t xml:space="preserve"> Vahetarbimise kasvust märkimisväärse osa moodustab kaitseotstarbeliste</w:t>
      </w:r>
      <w:r w:rsidRPr="00050ACF">
        <w:t xml:space="preserve"> kulutuste kasv. 2022. aasta jaanuari</w:t>
      </w:r>
      <w:r w:rsidR="00D806BB">
        <w:t>s</w:t>
      </w:r>
      <w:r w:rsidR="0067380D">
        <w:t xml:space="preserve"> Vabariigi </w:t>
      </w:r>
      <w:r w:rsidR="0067380D">
        <w:t xml:space="preserve">Valitsuse otsusega erakorraliselt eraldatud raha julgeolekuvõimekuse suurendamiseks </w:t>
      </w:r>
      <w:r w:rsidRPr="00050ACF">
        <w:t xml:space="preserve"> ja </w:t>
      </w:r>
      <w:r w:rsidR="0067380D">
        <w:t>2022.</w:t>
      </w:r>
      <w:r w:rsidR="008B0EAE">
        <w:t> </w:t>
      </w:r>
      <w:r w:rsidR="0067380D">
        <w:t xml:space="preserve">aasta </w:t>
      </w:r>
      <w:r w:rsidRPr="00050ACF">
        <w:t>märtsi</w:t>
      </w:r>
      <w:r w:rsidR="0067380D">
        <w:t>kuu</w:t>
      </w:r>
      <w:r w:rsidRPr="00050ACF">
        <w:t xml:space="preserve"> </w:t>
      </w:r>
      <w:r w:rsidR="0067380D">
        <w:t>sõjalise kaitse tugevdus</w:t>
      </w:r>
      <w:r w:rsidRPr="00050ACF">
        <w:t>paket</w:t>
      </w:r>
      <w:r w:rsidR="0067380D">
        <w:t xml:space="preserve">t </w:t>
      </w:r>
      <w:r w:rsidRPr="00050ACF">
        <w:t>suurendasid kulutusi laskemoonale ja kaitseotstarbelise varustuse hoolduseks, mis kajatatakse ESA metoodika kohaselt vahetarbimisena. 2026. aastal väheneb vahetarbimine, kuna antud aastasse on planeeritud ligi 105,3 miljoni euro eest vähem kaitseotstarbelisi vahendeid kui 2025. aastasse.</w:t>
      </w:r>
    </w:p>
    <w:p w14:paraId="44413A13" w14:textId="49332F09" w:rsidR="00067816" w:rsidRDefault="00067816" w:rsidP="00067816">
      <w:pPr>
        <w:pStyle w:val="Phitekst"/>
      </w:pPr>
      <w:r w:rsidRPr="00050ACF">
        <w:rPr>
          <w:rStyle w:val="Strong"/>
        </w:rPr>
        <w:t xml:space="preserve">Valitsussektori </w:t>
      </w:r>
      <w:r w:rsidRPr="00C04512">
        <w:rPr>
          <w:rStyle w:val="Strong"/>
        </w:rPr>
        <w:t>investeeringute osakaal SKPst on Eestis jätkuvalt kõrge.</w:t>
      </w:r>
      <w:r w:rsidRPr="00C04512">
        <w:t xml:space="preserve"> Valitsuse põhivarainvesteeringud</w:t>
      </w:r>
      <w:r w:rsidRPr="00C04512">
        <w:rPr>
          <w:rStyle w:val="EndnoteReference"/>
        </w:rPr>
        <w:endnoteReference w:id="6"/>
      </w:r>
      <w:r w:rsidRPr="00C04512">
        <w:t xml:space="preserve"> on perioodil 2001–2022 püsinud vahemikus 4,4-6,3% SKPst, mis on olnud keskmiselt 2,1 protsendipunkti võrra kõrgem kui Euroopa Liidu keskmine tase (vt</w:t>
      </w:r>
      <w:r w:rsidR="00C04512">
        <w:t xml:space="preserve"> </w:t>
      </w:r>
      <w:r w:rsidR="00C04512">
        <w:fldChar w:fldCharType="begin"/>
      </w:r>
      <w:r w:rsidR="00C04512">
        <w:instrText xml:space="preserve"> REF _Ref131626282 \h </w:instrText>
      </w:r>
      <w:r w:rsidR="00C04512">
        <w:fldChar w:fldCharType="separate"/>
      </w:r>
      <w:r w:rsidR="00A377C1" w:rsidRPr="00A45410">
        <w:t xml:space="preserve">Joonis </w:t>
      </w:r>
      <w:r w:rsidR="00A377C1">
        <w:rPr>
          <w:noProof/>
        </w:rPr>
        <w:t>18</w:t>
      </w:r>
      <w:r w:rsidR="00C04512">
        <w:fldChar w:fldCharType="end"/>
      </w:r>
      <w:r w:rsidRPr="00C04512">
        <w:t>). Aastatel 2023–2027 on põhivarasse kapitali kogumahutuse osakaal SKPst keskmiselt</w:t>
      </w:r>
      <w:r w:rsidRPr="00050ACF">
        <w:t xml:space="preserve"> 5,8%, kuid iga-aastane dünaamika sõltub valdavalt välisvahendite rakendamise suutlikkusest uuel rahastusperioodil, CO</w:t>
      </w:r>
      <w:r w:rsidRPr="008B0EAE">
        <w:rPr>
          <w:vertAlign w:val="subscript"/>
        </w:rPr>
        <w:t>2</w:t>
      </w:r>
      <w:r w:rsidRPr="00050ACF">
        <w:t xml:space="preserve"> osakute müügist saadud tulu arvelt tehtud investeeringutest ja erakorraliste kaitsekulutuste suurusest. 2023. aastal kasvavad võrreldes 2022.</w:t>
      </w:r>
      <w:r w:rsidR="008B0EAE">
        <w:t> </w:t>
      </w:r>
      <w:r w:rsidRPr="00050ACF">
        <w:t xml:space="preserve">aastaga nii riigieelarveliste asutuste kui ka keskvalitsuse juriidiliste isikute investeeringud. Riigieelarveliste asutuste investeeringuid suurendavad kulutused riigigümnaasiumide ehituseks, </w:t>
      </w:r>
      <w:r w:rsidRPr="00023865">
        <w:t>liitlase taristu</w:t>
      </w:r>
      <w:r w:rsidR="00AB10C6">
        <w:t xml:space="preserve"> arendamiseks</w:t>
      </w:r>
      <w:r w:rsidRPr="00023865">
        <w:t>, kaitseotstarbelisele erivarustuse</w:t>
      </w:r>
      <w:r w:rsidR="00AB10C6">
        <w:t xml:space="preserve"> hankimiseks</w:t>
      </w:r>
      <w:r w:rsidR="00BA2765">
        <w:t xml:space="preserve">, </w:t>
      </w:r>
      <w:r w:rsidRPr="00023865">
        <w:t>riigimaanteede ehitu</w:t>
      </w:r>
      <w:r w:rsidR="00AB10C6">
        <w:t>stöödeks, idapiiri väljaehitamiseks</w:t>
      </w:r>
      <w:r w:rsidR="00BA2765">
        <w:t xml:space="preserve"> ja infotehnoloogia valdkonna arendamiseks</w:t>
      </w:r>
      <w:r w:rsidRPr="00023865">
        <w:t>.</w:t>
      </w:r>
    </w:p>
    <w:p w14:paraId="66546BB7" w14:textId="77777777" w:rsidR="00A377C1" w:rsidRPr="00A45410" w:rsidRDefault="00A377C1" w:rsidP="00A377C1">
      <w:pPr>
        <w:pStyle w:val="Caption"/>
      </w:pPr>
      <w:bookmarkStart w:id="167" w:name="_Ref131626282"/>
      <w:bookmarkStart w:id="168" w:name="_Toc143775533"/>
      <w:r w:rsidRPr="00A45410">
        <w:t xml:space="preserve">Joonis </w:t>
      </w:r>
      <w:r w:rsidR="004C0EAE">
        <w:fldChar w:fldCharType="begin"/>
      </w:r>
      <w:r w:rsidR="004C0EAE">
        <w:instrText xml:space="preserve"> SEQ Joonis \* ARABIC </w:instrText>
      </w:r>
      <w:r w:rsidR="004C0EAE">
        <w:fldChar w:fldCharType="separate"/>
      </w:r>
      <w:r>
        <w:rPr>
          <w:noProof/>
        </w:rPr>
        <w:t>18</w:t>
      </w:r>
      <w:r w:rsidR="004C0EAE">
        <w:rPr>
          <w:noProof/>
        </w:rPr>
        <w:fldChar w:fldCharType="end"/>
      </w:r>
      <w:bookmarkEnd w:id="167"/>
      <w:r w:rsidRPr="00A45410">
        <w:t>. Valitsussektori põhivarainvesteeringud 2001-2027 (%SKPs)</w:t>
      </w:r>
      <w:bookmarkEnd w:id="168"/>
    </w:p>
    <w:p w14:paraId="4FB535BA" w14:textId="77777777" w:rsidR="00A377C1" w:rsidRPr="00A45410" w:rsidRDefault="00A377C1" w:rsidP="00A377C1">
      <w:pPr>
        <w:rPr>
          <w:rFonts w:ascii="Roboto" w:hAnsi="Roboto"/>
        </w:rPr>
      </w:pPr>
      <w:r>
        <w:rPr>
          <w:noProof/>
        </w:rPr>
        <w:drawing>
          <wp:inline distT="0" distB="0" distL="0" distR="0" wp14:anchorId="75DB1023" wp14:editId="585B8408">
            <wp:extent cx="2943225" cy="1946495"/>
            <wp:effectExtent l="0" t="0" r="0" b="0"/>
            <wp:docPr id="319640291" name="Diagramm 1">
              <a:extLst xmlns:a="http://schemas.openxmlformats.org/drawingml/2006/main">
                <a:ext uri="{FF2B5EF4-FFF2-40B4-BE49-F238E27FC236}">
                  <a16:creationId xmlns:a16="http://schemas.microsoft.com/office/drawing/2014/main" id="{00000000-0008-0000-0100-00002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3EB91AE3" w14:textId="55627CA3" w:rsidR="00D179D6" w:rsidRPr="00050ACF" w:rsidRDefault="00067816" w:rsidP="00067816">
      <w:pPr>
        <w:pStyle w:val="Phitekst"/>
      </w:pPr>
      <w:r w:rsidRPr="00023865">
        <w:rPr>
          <w:rStyle w:val="Strong"/>
        </w:rPr>
        <w:t xml:space="preserve">Valitsussektori kapitali kogumahutust (investeeringud) suurendavad erakorralised riigikaitse kulutused julgeoleku tugevdamiseks ja riigi eelarvestrateegia meetmed, mille hulgas on </w:t>
      </w:r>
      <w:r w:rsidRPr="00023865">
        <w:rPr>
          <w:rStyle w:val="Strong"/>
        </w:rPr>
        <w:lastRenderedPageBreak/>
        <w:t>keskmaa õhutõrje ja liitlaste taristu.</w:t>
      </w:r>
      <w:r w:rsidR="00ED68AD" w:rsidRPr="00023865">
        <w:t xml:space="preserve"> Keskmiselt</w:t>
      </w:r>
      <w:r w:rsidR="00ED68AD" w:rsidRPr="00050ACF">
        <w:t xml:space="preserve"> moodustavad kaitseotstarbelised kulutused 19% kapitali kogumahutusest põhivarasse. 2023-26 riigi eelarvestrateegia protsessis tehtud otsuste suurim mõju jääb investeeringutes 2024. ja 2026. aastasse, mil planeeritakse täiendavaid kulutusi teha vastavalt 155,4 ja 174,4 miljoni euro eest. Suveprognoosis on arvestatud koalitsioonileppe lubadusega hoida kaitsekulude osakaal alates 2024. aastast vähemalt tasemel 3% SKPst, mistõttu lisati investeeringutele 2025. aastal 104,8</w:t>
      </w:r>
      <w:r w:rsidR="008B0EAE">
        <w:t> </w:t>
      </w:r>
      <w:r w:rsidR="00ED68AD" w:rsidRPr="00050ACF">
        <w:t>miljonit eurot, 2026. aastal 197,7</w:t>
      </w:r>
      <w:r w:rsidR="008B0EAE">
        <w:t> </w:t>
      </w:r>
      <w:r w:rsidR="00ED68AD" w:rsidRPr="00050ACF">
        <w:t>miljonit eurot ja 2027. aastal 154,9 miljonit eurot</w:t>
      </w:r>
      <w:r w:rsidR="009F5143" w:rsidRPr="00050ACF">
        <w:t>.</w:t>
      </w:r>
    </w:p>
    <w:p w14:paraId="43A1B6E9" w14:textId="1424D50A" w:rsidR="00576A0F" w:rsidRPr="00023865" w:rsidRDefault="00576A0F" w:rsidP="00050ACF">
      <w:pPr>
        <w:pStyle w:val="Phitekst"/>
      </w:pPr>
      <w:r w:rsidRPr="00050ACF">
        <w:t>Kapitali kogumahutuse osakaal SKPs</w:t>
      </w:r>
      <w:r w:rsidR="008370A6">
        <w:t>t</w:t>
      </w:r>
      <w:r w:rsidRPr="00050ACF">
        <w:t xml:space="preserve"> on </w:t>
      </w:r>
      <w:r w:rsidRPr="00023865">
        <w:t xml:space="preserve">prognoosiperioodil kõrgeim, täpsemalt 6,5%, 2026. aastal </w:t>
      </w:r>
      <w:r w:rsidR="008370A6" w:rsidRPr="00023865">
        <w:t>uue välisvahendite perioodi</w:t>
      </w:r>
      <w:r w:rsidRPr="00023865">
        <w:t xml:space="preserve">, keskvalitsuse juriidiliste isikute poolt tehtavate investeeringute kiire kasvu ja kaitseotstarbeliste investeeringute tõttu. 2026. aastal saavutab Rail Balticu ehitamiseks planeeritavate välisvahendite maht maksimaalse taseme, kasvades 300 miljoni euroni. Lisaks on moderniseerimisfondist ja </w:t>
      </w:r>
      <w:r w:rsidR="00DD0F2F">
        <w:t xml:space="preserve">Euroopa Regionaalarengu Fondist </w:t>
      </w:r>
      <w:r w:rsidRPr="00023865">
        <w:t>investeeringuteks kasutatavate vahendite maht suurim 2026. aastal.</w:t>
      </w:r>
    </w:p>
    <w:p w14:paraId="4F1DC1D4" w14:textId="42B880A1" w:rsidR="00576A0F" w:rsidRPr="00050ACF" w:rsidRDefault="00576A0F" w:rsidP="00050ACF">
      <w:pPr>
        <w:pStyle w:val="Phitekst"/>
        <w:rPr>
          <w:rStyle w:val="Strong"/>
          <w:rFonts w:cstheme="minorBidi"/>
          <w:b w:val="0"/>
          <w:bCs w:val="0"/>
        </w:rPr>
      </w:pPr>
      <w:r w:rsidRPr="00023865">
        <w:t>2027. aastal langeb välisvahendite kasutus</w:t>
      </w:r>
      <w:r w:rsidR="00BB2805">
        <w:t xml:space="preserve"> investeeringuteks üle kahe korra</w:t>
      </w:r>
      <w:r w:rsidRPr="00023865">
        <w:t xml:space="preserve">. 2027. aastal vähenevad </w:t>
      </w:r>
      <w:r w:rsidR="008370A6" w:rsidRPr="00023865">
        <w:t>muu keskvalitsuse</w:t>
      </w:r>
      <w:r w:rsidRPr="00023865">
        <w:t xml:space="preserve"> investeeringud 2026.</w:t>
      </w:r>
      <w:r w:rsidR="008B0EAE">
        <w:t> </w:t>
      </w:r>
      <w:r w:rsidRPr="00023865">
        <w:t>aastaga võrreldes ca 72% Rail Balticu ehitamiseks tehtavate investeeringute tõttu, mistõttu valitsussektori investeeringud vaatamata suuremahulistele riigikaitse investeeringutele langevad aastaga 11,8%.</w:t>
      </w:r>
    </w:p>
    <w:p w14:paraId="7C75D7C6" w14:textId="2068EEB5" w:rsidR="008370A6" w:rsidRPr="00023865" w:rsidRDefault="008370A6" w:rsidP="008370A6">
      <w:pPr>
        <w:pStyle w:val="Phitekst"/>
      </w:pPr>
      <w:r w:rsidRPr="009B3859">
        <w:rPr>
          <w:rStyle w:val="Strong"/>
        </w:rPr>
        <w:t>Intressikulud</w:t>
      </w:r>
      <w:r w:rsidRPr="009B3859">
        <w:t xml:space="preserve"> kasvavad prognoosiperioodil kiiresti </w:t>
      </w:r>
      <w:r w:rsidRPr="00023865">
        <w:t>seoses Euribori kasvuga. Kui varasemalt on intressikulude osakaal SKPst jäänud väiksemaks kui 0,1% tulenevalt Eesti madalast võlakoormusest, siis 2027. aastaks moodustavad intressikulud 1,0% SKPst. Kui 2023. aastal on valitsussektori intressikulud prognoositavalt 174,8 miljonit eurot, siis 2027. aastal juba 48</w:t>
      </w:r>
      <w:r w:rsidR="002E1693">
        <w:t>3</w:t>
      </w:r>
      <w:r w:rsidRPr="00023865">
        <w:t>,</w:t>
      </w:r>
      <w:r w:rsidR="002E1693">
        <w:t>9</w:t>
      </w:r>
      <w:r w:rsidRPr="00023865">
        <w:t xml:space="preserve"> miljonit eurot.</w:t>
      </w:r>
    </w:p>
    <w:p w14:paraId="20EC1AB6" w14:textId="0FF7C38F" w:rsidR="006B6521" w:rsidRPr="009B3859" w:rsidRDefault="008370A6" w:rsidP="008370A6">
      <w:pPr>
        <w:pStyle w:val="Phitekst"/>
      </w:pPr>
      <w:r w:rsidRPr="00023865">
        <w:rPr>
          <w:rStyle w:val="Strong"/>
        </w:rPr>
        <w:t xml:space="preserve">COFOGi valitsemisfunktsiooni jaotuse järgi moodustavad suurima osa sotsiaalse kaitse </w:t>
      </w:r>
      <w:r w:rsidRPr="00023865">
        <w:rPr>
          <w:rStyle w:val="Strong"/>
        </w:rPr>
        <w:t>kulutused.</w:t>
      </w:r>
      <w:r w:rsidRPr="00023865">
        <w:rPr>
          <w:rStyle w:val="Strong"/>
          <w:rFonts w:cstheme="minorBidi"/>
          <w:b w:val="0"/>
          <w:bCs w:val="0"/>
        </w:rPr>
        <w:t xml:space="preserve"> Sotsiaalne</w:t>
      </w:r>
      <w:r w:rsidRPr="009B3859">
        <w:rPr>
          <w:rStyle w:val="Strong"/>
          <w:rFonts w:cstheme="minorBidi"/>
          <w:b w:val="0"/>
          <w:bCs w:val="0"/>
        </w:rPr>
        <w:t xml:space="preserve"> kaitse moodustas 2021. aastal 13,5% SKPst, millest veidi alla poole oli seotud vanaduspensionidega. </w:t>
      </w:r>
      <w:r w:rsidRPr="00023865">
        <w:t>Prognoosi kohaselt kasvavad riiklikud pensionikulud aastatel 2023–2027 keskmiselt 11,3% aastas tulenevalt pensionide erakorralisest tõusust 20 euro võrra alates 2023.</w:t>
      </w:r>
      <w:r w:rsidR="008B0EAE">
        <w:t> </w:t>
      </w:r>
      <w:r w:rsidRPr="00023865">
        <w:t>aasta algusest, keskmise pensioni tulumaksuvabastusest ning pensioniindeksi kasvust, mis sõltub sotsiaalmaksu pensioniosa ja tarbijahinnaindeksi muutusest. Sotsiaalse kaitse kulude tase, mis langeb 2022. aastal 12,4%ni SKPst, kasvab 2027. aastaks vanaduspensionide nominaalsest SKPst kiirema kasvu tõttu 14,2%le SKPst</w:t>
      </w:r>
      <w:r w:rsidR="006B6521" w:rsidRPr="00023865">
        <w:t>.</w:t>
      </w:r>
    </w:p>
    <w:p w14:paraId="1CC96CDF" w14:textId="0971A18D" w:rsidR="006B6521" w:rsidRPr="009B3859" w:rsidRDefault="006B6521" w:rsidP="00050ACF">
      <w:pPr>
        <w:pStyle w:val="Phitekst"/>
      </w:pPr>
      <w:r w:rsidRPr="009B3859">
        <w:rPr>
          <w:rStyle w:val="Strong"/>
        </w:rPr>
        <w:t>Tervishoiukulude osakaal SKPs</w:t>
      </w:r>
      <w:r w:rsidR="008370A6">
        <w:rPr>
          <w:rStyle w:val="Strong"/>
        </w:rPr>
        <w:t>t</w:t>
      </w:r>
      <w:r w:rsidRPr="009B3859">
        <w:rPr>
          <w:rStyle w:val="Strong"/>
        </w:rPr>
        <w:t xml:space="preserve"> püsib perioodil 2023-2027 keskmiselt tasemel 6,3% SKPst.</w:t>
      </w:r>
      <w:r w:rsidRPr="009B3859">
        <w:t xml:space="preserve"> 2020.</w:t>
      </w:r>
      <w:r w:rsidR="008B0EAE">
        <w:t> </w:t>
      </w:r>
      <w:r w:rsidRPr="009B3859">
        <w:t>aastal ulatusid tervishoiukulud 6,6%ni SKPst, mis on kõrgeim tase 1995. aastast alates. 2021.</w:t>
      </w:r>
      <w:r w:rsidR="008B0EAE">
        <w:t> </w:t>
      </w:r>
      <w:r w:rsidRPr="009B3859">
        <w:t>aastal oli tervishoiukulude osakaal SKPs</w:t>
      </w:r>
      <w:r w:rsidR="008370A6">
        <w:t>t</w:t>
      </w:r>
      <w:r w:rsidRPr="009B3859">
        <w:t xml:space="preserve"> 6,5%, langedes 2020. aastaga võrreldes vaid 0,1</w:t>
      </w:r>
      <w:r w:rsidR="00023865">
        <w:t> </w:t>
      </w:r>
      <w:proofErr w:type="spellStart"/>
      <w:r w:rsidRPr="009B3859">
        <w:t>pp</w:t>
      </w:r>
      <w:proofErr w:type="spellEnd"/>
      <w:r w:rsidRPr="009B3859">
        <w:t xml:space="preserve"> võrra. Tervishoiukulude kasvu aluseks on võetud Tervisekassa prognoositav kulude kasvutempo. Kuna prognoositav nominaalse SKP kasv jääb väiksemaks tervisesüsteemi rahastamiseks vajalike kulutuste kasvust, siis tervishoiukulude osakaal püsib kõrge ka prognoosiperioodi lõpuaastatel.</w:t>
      </w:r>
    </w:p>
    <w:p w14:paraId="47B4C50A" w14:textId="253CED55" w:rsidR="008370A6" w:rsidRDefault="008370A6" w:rsidP="00050ACF">
      <w:pPr>
        <w:pStyle w:val="Phitekst"/>
      </w:pPr>
      <w:r w:rsidRPr="009B3859">
        <w:rPr>
          <w:rStyle w:val="Strong"/>
        </w:rPr>
        <w:t xml:space="preserve">Riigikaitse kulusid kasvatavad  2022. aasta jaanuari ja märtsi </w:t>
      </w:r>
      <w:r w:rsidRPr="00023865">
        <w:rPr>
          <w:rStyle w:val="Strong"/>
        </w:rPr>
        <w:t>kaitsekulude paketid ning kokkulepe hoida kaitsekulud alates 2024. aastast vähemalt 3% tasemel SKPst.</w:t>
      </w:r>
      <w:r w:rsidRPr="00023865">
        <w:t xml:space="preserve"> Prognoosis on arvestatud, et vastavalt julgeolekupoliitika alustele tagab valitsuskoalitsioon neljaks aastaks pikaajalised riigikaitse kulud 3% SKPst, millele lisanduvad liitlaste vastuvõtuga seotud kulud. 2024. aastaks kasvavad riigikaitse kulud 3,2%ni SKPst. Perioodil 2024–2027 planeeritakse</w:t>
      </w:r>
      <w:r w:rsidRPr="009B3859">
        <w:t xml:space="preserve"> eraldada julgeolekuvõimekusele lisavahendeid 1,046 miljardi euro ulatuses, kusjuures suurimad kulutused tehakse riigikaitse lisapaketist 2024. ja 2025. aastal, vastavalt 518 ja 318 miljonit eurot.</w:t>
      </w:r>
    </w:p>
    <w:p w14:paraId="767CE1C6" w14:textId="60CEF9D3" w:rsidR="004226B7" w:rsidRPr="00050ACF" w:rsidRDefault="00D179D6" w:rsidP="00050ACF">
      <w:pPr>
        <w:pStyle w:val="Phitekst"/>
        <w:rPr>
          <w:rStyle w:val="Strong"/>
          <w:rFonts w:cstheme="minorBidi"/>
          <w:b w:val="0"/>
          <w:bCs w:val="0"/>
        </w:rPr>
      </w:pPr>
      <w:r w:rsidRPr="009B3859">
        <w:t xml:space="preserve">Valitsussektori kulude prognoos funktsioonide järgi on toodud lisas (vt </w:t>
      </w:r>
      <w:r w:rsidRPr="009B3859">
        <w:fldChar w:fldCharType="begin"/>
      </w:r>
      <w:r w:rsidRPr="009B3859">
        <w:instrText xml:space="preserve"> REF _Ref68188476 \h  \* MERGEFORMAT </w:instrText>
      </w:r>
      <w:r w:rsidRPr="009B3859">
        <w:fldChar w:fldCharType="separate"/>
      </w:r>
      <w:r w:rsidR="00A377C1" w:rsidRPr="001D6947">
        <w:t xml:space="preserve">Tabel </w:t>
      </w:r>
      <w:r w:rsidR="00A377C1">
        <w:t>14</w:t>
      </w:r>
      <w:r w:rsidRPr="009B3859">
        <w:fldChar w:fldCharType="end"/>
      </w:r>
      <w:r w:rsidRPr="009B3859">
        <w:t xml:space="preserve"> ja </w:t>
      </w:r>
      <w:r w:rsidRPr="009B3859">
        <w:fldChar w:fldCharType="begin"/>
      </w:r>
      <w:r w:rsidRPr="009B3859">
        <w:instrText xml:space="preserve"> REF _Ref100181970 \h  \* MERGEFORMAT </w:instrText>
      </w:r>
      <w:r w:rsidRPr="009B3859">
        <w:fldChar w:fldCharType="separate"/>
      </w:r>
      <w:r w:rsidR="00A377C1" w:rsidRPr="00B56E1F">
        <w:t>Joonis 25</w:t>
      </w:r>
      <w:r w:rsidRPr="009B3859">
        <w:fldChar w:fldCharType="end"/>
      </w:r>
      <w:r w:rsidRPr="009B3859">
        <w:t xml:space="preserve">, Lisa </w:t>
      </w:r>
      <w:r w:rsidR="00023865">
        <w:t>3</w:t>
      </w:r>
      <w:r w:rsidRPr="009B3859">
        <w:t>).</w:t>
      </w:r>
      <w:bookmarkStart w:id="169" w:name="_Hlk100220565"/>
      <w:bookmarkEnd w:id="163"/>
      <w:bookmarkEnd w:id="164"/>
    </w:p>
    <w:bookmarkEnd w:id="169"/>
    <w:p w14:paraId="14CA2DD3" w14:textId="77777777" w:rsidR="006C721E" w:rsidRPr="00A45410" w:rsidRDefault="006C721E" w:rsidP="006A5CB8">
      <w:pPr>
        <w:pStyle w:val="Phitekst"/>
        <w:sectPr w:rsidR="006C721E" w:rsidRPr="00A45410" w:rsidSect="00007B50">
          <w:footerReference w:type="default" r:id="rId48"/>
          <w:endnotePr>
            <w:numFmt w:val="decimal"/>
          </w:endnotePr>
          <w:type w:val="continuous"/>
          <w:pgSz w:w="11906" w:h="16838"/>
          <w:pgMar w:top="964" w:right="964" w:bottom="964" w:left="964" w:header="709" w:footer="709" w:gutter="0"/>
          <w:cols w:num="2" w:space="708"/>
          <w:docGrid w:linePitch="360"/>
        </w:sectPr>
      </w:pPr>
    </w:p>
    <w:p w14:paraId="44C64CCD" w14:textId="77777777" w:rsidR="009C20E1" w:rsidRPr="00A45410" w:rsidRDefault="009C20E1" w:rsidP="009C20E1">
      <w:pPr>
        <w:sectPr w:rsidR="009C20E1" w:rsidRPr="00A45410" w:rsidSect="006E6E85">
          <w:footerReference w:type="default" r:id="rId49"/>
          <w:footerReference w:type="first" r:id="rId50"/>
          <w:endnotePr>
            <w:numFmt w:val="decimal"/>
          </w:endnotePr>
          <w:type w:val="continuous"/>
          <w:pgSz w:w="11906" w:h="16838"/>
          <w:pgMar w:top="964" w:right="964" w:bottom="964" w:left="964" w:header="709" w:footer="709" w:gutter="0"/>
          <w:cols w:space="708"/>
          <w:docGrid w:linePitch="360"/>
        </w:sectPr>
      </w:pPr>
      <w:bookmarkStart w:id="170" w:name="_Toc62631854"/>
      <w:bookmarkStart w:id="171" w:name="_Toc64504574"/>
    </w:p>
    <w:p w14:paraId="68426E18" w14:textId="73242E1F" w:rsidR="00BF4084" w:rsidRPr="00672FDF" w:rsidRDefault="009C20E1" w:rsidP="00E66452">
      <w:pPr>
        <w:pStyle w:val="Heading2"/>
      </w:pPr>
      <w:bookmarkStart w:id="172" w:name="_Toc143775507"/>
      <w:r w:rsidRPr="00672FDF">
        <w:lastRenderedPageBreak/>
        <w:t>MAKSUPOLIITIKA MÕJU</w:t>
      </w:r>
      <w:bookmarkEnd w:id="172"/>
    </w:p>
    <w:p w14:paraId="0FFC0AB6" w14:textId="77777777" w:rsidR="00727901" w:rsidRPr="00672FDF" w:rsidRDefault="00727901" w:rsidP="00727901">
      <w:pPr>
        <w:pStyle w:val="Heading3"/>
      </w:pPr>
      <w:bookmarkStart w:id="173" w:name="_Toc143775508"/>
      <w:r w:rsidRPr="00672FDF">
        <w:t>Maksupoliitilised muudatused</w:t>
      </w:r>
      <w:bookmarkEnd w:id="173"/>
    </w:p>
    <w:p w14:paraId="648B3D3C" w14:textId="76B20693" w:rsidR="00E97738" w:rsidRPr="00E04AF6" w:rsidRDefault="00E97738" w:rsidP="00E97738">
      <w:pPr>
        <w:pStyle w:val="Alapunkt"/>
        <w:jc w:val="both"/>
        <w:rPr>
          <w:b/>
        </w:rPr>
        <w:sectPr w:rsidR="00E97738" w:rsidRPr="00E04AF6" w:rsidSect="0056422F">
          <w:footerReference w:type="default" r:id="rId51"/>
          <w:footerReference w:type="first" r:id="rId52"/>
          <w:endnotePr>
            <w:numFmt w:val="decimal"/>
          </w:endnotePr>
          <w:pgSz w:w="11906" w:h="16838"/>
          <w:pgMar w:top="964" w:right="964" w:bottom="964" w:left="964" w:header="709" w:footer="709" w:gutter="0"/>
          <w:cols w:space="708"/>
          <w:docGrid w:linePitch="360"/>
        </w:sectPr>
      </w:pPr>
      <w:bookmarkStart w:id="174" w:name="_Hlk143542158"/>
      <w:bookmarkStart w:id="175" w:name="_Hlk81519055"/>
      <w:r w:rsidRPr="00E04AF6">
        <w:t>Prognoosiperioodil jõustuvate maksupoliitiliste muudatustega nihutatakse maksukoormust tööjõumaksudelt tarbimismaksudele</w:t>
      </w:r>
      <w:r w:rsidR="00E04AF6">
        <w:t>.</w:t>
      </w:r>
    </w:p>
    <w:p w14:paraId="4CB91338" w14:textId="11C2FB39" w:rsidR="00E97738" w:rsidRPr="00E04AF6" w:rsidRDefault="00E97738" w:rsidP="00E04AF6">
      <w:pPr>
        <w:pStyle w:val="Phitekst"/>
      </w:pPr>
      <w:r w:rsidRPr="00E04AF6">
        <w:rPr>
          <w:rStyle w:val="Strong"/>
        </w:rPr>
        <w:t>2023. aastal jõustunud maksumuudatuste koosmõjul väheneb eelarvetulu 58,7 mln euro võrra. Tänavu on suurima mõjuga muudatus, mille kohaselt on keskmine vanaduspension tulumaksust vabastatud. Teise olulise maksmuudatusega tõstetakse maksuvaba tulu 654 euroni.</w:t>
      </w:r>
      <w:r w:rsidRPr="00E04AF6">
        <w:t xml:space="preserve"> Otseste maksude puhul on kasusaajaks eraisikud ning muudatused on eelarvekontekstis negatiivse mõjuga vähendades laekumisi. Riigi tulusid vähendavad nii sellel aastal kui järgmistel just otseste maksude muudatused, mis on suunatud eelkõige vähemkindlustatud ja haavatavamate ühiskonna</w:t>
      </w:r>
      <w:r w:rsidR="006D74DD">
        <w:softHyphen/>
      </w:r>
      <w:r w:rsidRPr="00E04AF6">
        <w:t>liikmete toetamisele. Ettevõtlus</w:t>
      </w:r>
      <w:r w:rsidR="006D74DD">
        <w:softHyphen/>
      </w:r>
      <w:r w:rsidRPr="00E04AF6">
        <w:t>keskkonda puudutav juriidilise isiku tulumaksu määr tõuseb järgmisel aastal 22%le ning kaob regulaarselt jaotava kasumi madalam maksumäär, mis otseste maksude poolelt suurendab riigieelarve tulusid.</w:t>
      </w:r>
    </w:p>
    <w:p w14:paraId="5317E906" w14:textId="6FC162DD" w:rsidR="00672FDF" w:rsidRPr="00E04AF6" w:rsidRDefault="00E97738" w:rsidP="00E97738">
      <w:pPr>
        <w:jc w:val="both"/>
        <w:rPr>
          <w:rFonts w:ascii="Calibri" w:eastAsia="Calibri" w:hAnsi="Calibri" w:cs="Times New Roman"/>
          <w:b/>
          <w:bCs/>
        </w:rPr>
      </w:pPr>
      <w:r w:rsidRPr="00E04AF6">
        <w:rPr>
          <w:rFonts w:ascii="Calibri" w:eastAsia="Calibri" w:hAnsi="Calibri" w:cs="Times New Roman"/>
        </w:rPr>
        <w:t xml:space="preserve">Maksumuudatused, millel on eelarvele positiivne mõju on käesoleval aastal vähe ning puudutavad eelkõige tarbimismakse. </w:t>
      </w:r>
      <w:r w:rsidRPr="00E04AF6">
        <w:rPr>
          <w:rFonts w:ascii="Calibri" w:eastAsia="Calibri" w:hAnsi="Calibri" w:cs="Times New Roman"/>
          <w:b/>
          <w:bCs/>
        </w:rPr>
        <w:t xml:space="preserve">Seevastu järgmisel eelarveaastal on oodata mitme tarbimismaksu määra tõstmisi. Suurima mõjuga on käibemaksu standardmäär tõus 22%ni ning lisaks tõstetakse nii alkoholi-, tubaka- kui ka kütuseaktsiisimäärasid. </w:t>
      </w:r>
      <w:r w:rsidRPr="00E04AF6">
        <w:rPr>
          <w:rFonts w:ascii="Calibri" w:eastAsia="Calibri" w:hAnsi="Calibri" w:cs="Times New Roman"/>
        </w:rPr>
        <w:t xml:space="preserve">Viimased tõstmised on seotud energiatoodete </w:t>
      </w:r>
      <w:r w:rsidRPr="00E04AF6">
        <w:rPr>
          <w:rFonts w:ascii="Calibri" w:eastAsia="Calibri" w:hAnsi="Calibri" w:cs="Times New Roman"/>
        </w:rPr>
        <w:t>ajutise aktsiisimäära langetuse perioodi lõppemisega. Vähendatud</w:t>
      </w:r>
      <w:r w:rsidRPr="00E04AF6">
        <w:rPr>
          <w:rFonts w:ascii="Calibri" w:eastAsia="Calibri" w:hAnsi="Calibri" w:cs="Times New Roman"/>
          <w:b/>
          <w:bCs/>
        </w:rPr>
        <w:t xml:space="preserve"> </w:t>
      </w:r>
      <w:r w:rsidRPr="00E04AF6">
        <w:rPr>
          <w:rFonts w:ascii="Calibri" w:eastAsia="Calibri" w:hAnsi="Calibri" w:cs="Times New Roman"/>
        </w:rPr>
        <w:t xml:space="preserve">määrad olid kehtestatud ajutiselt (1.05.2020-30.04.2024) ning edasi tõstetakse aktsiisimäärasid järkjärgult, nii et 1. maiks 2027 saavutatakse varasemalt kehtinud aktsiisimäärad. </w:t>
      </w:r>
      <w:r w:rsidRPr="00E04AF6">
        <w:rPr>
          <w:rFonts w:ascii="Calibri" w:eastAsia="Calibri" w:hAnsi="Calibri" w:cs="Times New Roman"/>
          <w:b/>
          <w:bCs/>
        </w:rPr>
        <w:t xml:space="preserve">2024. aastal riigieelarve tulud suurenevad maksumuudatuste tulemusel 81,7 mln euro võrra. </w:t>
      </w:r>
      <w:r w:rsidRPr="00E04AF6">
        <w:rPr>
          <w:rFonts w:ascii="Calibri" w:eastAsia="Calibri" w:hAnsi="Calibri" w:cs="Times New Roman"/>
        </w:rPr>
        <w:t xml:space="preserve">Aastate 2023-2024 peamised maksumuudatused on toodud Lisas </w:t>
      </w:r>
      <w:r w:rsidR="002B6B57">
        <w:rPr>
          <w:rFonts w:ascii="Calibri" w:eastAsia="Calibri" w:hAnsi="Calibri" w:cs="Times New Roman"/>
        </w:rPr>
        <w:t>3</w:t>
      </w:r>
      <w:r w:rsidR="00672FDF" w:rsidRPr="00E04AF6">
        <w:rPr>
          <w:rFonts w:ascii="Calibri" w:eastAsia="Calibri" w:hAnsi="Calibri" w:cs="Times New Roman"/>
        </w:rPr>
        <w:t xml:space="preserve">, </w:t>
      </w:r>
      <w:r w:rsidR="00672FDF" w:rsidRPr="00E04AF6">
        <w:rPr>
          <w:rFonts w:ascii="Calibri" w:eastAsia="Calibri" w:hAnsi="Calibri" w:cs="Times New Roman"/>
        </w:rPr>
        <w:fldChar w:fldCharType="begin"/>
      </w:r>
      <w:r w:rsidR="00672FDF" w:rsidRPr="00E04AF6">
        <w:rPr>
          <w:rFonts w:ascii="Calibri" w:eastAsia="Calibri" w:hAnsi="Calibri" w:cs="Times New Roman"/>
        </w:rPr>
        <w:instrText xml:space="preserve"> REF _Ref511397834 \h  \* MERGEFORMAT </w:instrText>
      </w:r>
      <w:r w:rsidR="00672FDF" w:rsidRPr="00E04AF6">
        <w:rPr>
          <w:rFonts w:ascii="Calibri" w:eastAsia="Calibri" w:hAnsi="Calibri" w:cs="Times New Roman"/>
        </w:rPr>
      </w:r>
      <w:r w:rsidR="00672FDF" w:rsidRPr="00E04AF6">
        <w:rPr>
          <w:rFonts w:ascii="Calibri" w:eastAsia="Calibri" w:hAnsi="Calibri" w:cs="Times New Roman"/>
        </w:rPr>
        <w:fldChar w:fldCharType="separate"/>
      </w:r>
      <w:r w:rsidR="00A377C1" w:rsidRPr="00A377C1">
        <w:rPr>
          <w:rFonts w:ascii="Calibri" w:eastAsia="Calibri" w:hAnsi="Calibri" w:cs="Times New Roman"/>
        </w:rPr>
        <w:t xml:space="preserve">Tabel </w:t>
      </w:r>
      <w:r w:rsidR="00A377C1" w:rsidRPr="00A377C1">
        <w:rPr>
          <w:rFonts w:ascii="Calibri" w:eastAsia="Calibri" w:hAnsi="Calibri" w:cs="Times New Roman"/>
          <w:noProof/>
        </w:rPr>
        <w:t>17</w:t>
      </w:r>
      <w:r w:rsidR="00672FDF" w:rsidRPr="00E04AF6">
        <w:rPr>
          <w:rFonts w:ascii="Calibri" w:eastAsia="Calibri" w:hAnsi="Calibri" w:cs="Times New Roman"/>
        </w:rPr>
        <w:fldChar w:fldCharType="end"/>
      </w:r>
      <w:r w:rsidR="00672FDF" w:rsidRPr="00E04AF6">
        <w:rPr>
          <w:rFonts w:ascii="Calibri" w:eastAsia="Calibri" w:hAnsi="Calibri" w:cs="Times New Roman"/>
        </w:rPr>
        <w:t>.</w:t>
      </w:r>
    </w:p>
    <w:p w14:paraId="1A8E2E2B" w14:textId="69852B9E" w:rsidR="00672FDF" w:rsidRDefault="00E97738" w:rsidP="00672FDF">
      <w:pPr>
        <w:jc w:val="both"/>
        <w:rPr>
          <w:rFonts w:ascii="Calibri" w:eastAsia="Calibri" w:hAnsi="Calibri" w:cs="Times New Roman"/>
        </w:rPr>
      </w:pPr>
      <w:r w:rsidRPr="00E04AF6">
        <w:rPr>
          <w:rFonts w:ascii="Calibri" w:eastAsia="Calibri" w:hAnsi="Calibri" w:cs="Times New Roman"/>
          <w:b/>
          <w:bCs/>
        </w:rPr>
        <w:t>Vaadeldes maksumuudatuste mõju vastavalt maksu majanduslikule funktsioonile, on näha, et prognoosiperioodi jooksul jõustuvate maksumuudatustega tööjõumaksud kahanevad ning tarbimismaksud suurenevad.</w:t>
      </w:r>
      <w:r w:rsidRPr="00E04AF6">
        <w:rPr>
          <w:rFonts w:ascii="Calibri" w:eastAsia="Calibri" w:hAnsi="Calibri" w:cs="Times New Roman"/>
        </w:rPr>
        <w:t xml:space="preserve"> Selle tulemusena hakkab maksukoormus alates 2026. aastast vähenema</w:t>
      </w:r>
      <w:r w:rsidR="009B3859">
        <w:rPr>
          <w:rFonts w:ascii="Calibri" w:eastAsia="Calibri" w:hAnsi="Calibri" w:cs="Times New Roman"/>
        </w:rPr>
        <w:t xml:space="preserve"> (</w:t>
      </w:r>
      <w:r w:rsidR="008478E8">
        <w:rPr>
          <w:rFonts w:ascii="Calibri" w:eastAsia="Calibri" w:hAnsi="Calibri" w:cs="Times New Roman"/>
        </w:rPr>
        <w:fldChar w:fldCharType="begin"/>
      </w:r>
      <w:r w:rsidR="008478E8">
        <w:rPr>
          <w:rFonts w:ascii="Calibri" w:eastAsia="Calibri" w:hAnsi="Calibri" w:cs="Times New Roman"/>
        </w:rPr>
        <w:instrText xml:space="preserve"> REF _Ref143716031 \h </w:instrText>
      </w:r>
      <w:r w:rsidR="008478E8">
        <w:rPr>
          <w:rFonts w:ascii="Calibri" w:eastAsia="Calibri" w:hAnsi="Calibri" w:cs="Times New Roman"/>
        </w:rPr>
      </w:r>
      <w:r w:rsidR="008478E8">
        <w:rPr>
          <w:rFonts w:ascii="Calibri" w:eastAsia="Calibri" w:hAnsi="Calibri" w:cs="Times New Roman"/>
        </w:rPr>
        <w:fldChar w:fldCharType="separate"/>
      </w:r>
      <w:r w:rsidR="00A377C1">
        <w:t xml:space="preserve">Tabel </w:t>
      </w:r>
      <w:r w:rsidR="00A377C1">
        <w:rPr>
          <w:noProof/>
        </w:rPr>
        <w:t>4</w:t>
      </w:r>
      <w:r w:rsidR="008478E8">
        <w:rPr>
          <w:rFonts w:ascii="Calibri" w:eastAsia="Calibri" w:hAnsi="Calibri" w:cs="Times New Roman"/>
        </w:rPr>
        <w:fldChar w:fldCharType="end"/>
      </w:r>
      <w:r w:rsidR="009B3859">
        <w:rPr>
          <w:rFonts w:ascii="Calibri" w:eastAsia="Calibri" w:hAnsi="Calibri" w:cs="Times New Roman"/>
        </w:rPr>
        <w:t>)</w:t>
      </w:r>
      <w:bookmarkEnd w:id="174"/>
      <w:r w:rsidRPr="00E04AF6">
        <w:rPr>
          <w:rFonts w:ascii="Calibri" w:eastAsia="Calibri" w:hAnsi="Calibri" w:cs="Times New Roman"/>
        </w:rPr>
        <w:t>. 2027. aastaks suureneb maksukoormus tulenevalt maksumuudatustest kokku 0,44% võrra SKPst, kui see oleks olnud 2022.</w:t>
      </w:r>
      <w:r w:rsidR="008B0EAE">
        <w:rPr>
          <w:rFonts w:ascii="Calibri" w:eastAsia="Calibri" w:hAnsi="Calibri" w:cs="Times New Roman"/>
        </w:rPr>
        <w:t> </w:t>
      </w:r>
      <w:r w:rsidRPr="00E04AF6">
        <w:rPr>
          <w:rFonts w:ascii="Calibri" w:eastAsia="Calibri" w:hAnsi="Calibri" w:cs="Times New Roman"/>
        </w:rPr>
        <w:t>aasta lõpus kehtinud olukorra jätkudes. Samal ajaperioodil väheneb tööjõumaksude maksukoormus 0,49% võrra ning tarbimismaksude maksukoormus kasvab 0,91% SKPst.</w:t>
      </w:r>
    </w:p>
    <w:p w14:paraId="00C8980E" w14:textId="77777777" w:rsidR="008478E8" w:rsidRPr="00E97738" w:rsidRDefault="008478E8" w:rsidP="00672FDF">
      <w:pPr>
        <w:jc w:val="both"/>
        <w:rPr>
          <w:rFonts w:ascii="Calibri" w:eastAsia="Calibri" w:hAnsi="Calibri" w:cs="Times New Roman"/>
          <w:highlight w:val="green"/>
        </w:rPr>
      </w:pPr>
    </w:p>
    <w:bookmarkEnd w:id="175"/>
    <w:p w14:paraId="54E659DB" w14:textId="77777777" w:rsidR="00672FDF" w:rsidRDefault="00672FDF" w:rsidP="00672FDF">
      <w:pPr>
        <w:rPr>
          <w:rFonts w:ascii="Calibri" w:eastAsia="Calibri" w:hAnsi="Calibri" w:cs="Times New Roman"/>
          <w:highlight w:val="green"/>
        </w:rPr>
      </w:pPr>
    </w:p>
    <w:p w14:paraId="5B8DF6AB" w14:textId="77777777" w:rsidR="008478E8" w:rsidRPr="00E97738" w:rsidRDefault="008478E8" w:rsidP="00672FDF">
      <w:pPr>
        <w:rPr>
          <w:rFonts w:ascii="Calibri" w:eastAsia="Calibri" w:hAnsi="Calibri" w:cs="Times New Roman"/>
          <w:highlight w:val="green"/>
        </w:rPr>
        <w:sectPr w:rsidR="008478E8" w:rsidRPr="00E97738" w:rsidSect="00904451">
          <w:footerReference w:type="default" r:id="rId53"/>
          <w:endnotePr>
            <w:numFmt w:val="decimal"/>
          </w:endnotePr>
          <w:type w:val="continuous"/>
          <w:pgSz w:w="11906" w:h="16838"/>
          <w:pgMar w:top="964" w:right="964" w:bottom="964" w:left="964" w:header="709" w:footer="709" w:gutter="0"/>
          <w:cols w:num="2" w:space="708"/>
          <w:docGrid w:linePitch="360"/>
        </w:sectPr>
      </w:pPr>
    </w:p>
    <w:p w14:paraId="260F181D" w14:textId="724ABBDD" w:rsidR="009B3859" w:rsidRPr="009B3859" w:rsidRDefault="009B3859" w:rsidP="009B3859">
      <w:pPr>
        <w:pStyle w:val="Caption"/>
      </w:pPr>
      <w:bookmarkStart w:id="176" w:name="_Ref143716031"/>
      <w:bookmarkStart w:id="177" w:name="_Toc143775545"/>
      <w:r>
        <w:t xml:space="preserve">Tabel </w:t>
      </w:r>
      <w:r w:rsidR="004C0EAE">
        <w:fldChar w:fldCharType="begin"/>
      </w:r>
      <w:r w:rsidR="004C0EAE">
        <w:instrText xml:space="preserve"> SEQ Tabel \* ARABIC </w:instrText>
      </w:r>
      <w:r w:rsidR="004C0EAE">
        <w:fldChar w:fldCharType="separate"/>
      </w:r>
      <w:r w:rsidR="00D84B51">
        <w:rPr>
          <w:noProof/>
        </w:rPr>
        <w:t>4</w:t>
      </w:r>
      <w:r w:rsidR="004C0EAE">
        <w:rPr>
          <w:noProof/>
        </w:rPr>
        <w:fldChar w:fldCharType="end"/>
      </w:r>
      <w:bookmarkEnd w:id="176"/>
      <w:r>
        <w:t xml:space="preserve">. </w:t>
      </w:r>
      <w:r w:rsidRPr="009B3859">
        <w:t>Maksumuudatuste kumulatiivne mõju maksukoormusele vastavalt maksu majanduslikule funktsioonile 2023–2027 (% SKPst)</w:t>
      </w:r>
      <w:bookmarkEnd w:id="177"/>
    </w:p>
    <w:tbl>
      <w:tblPr>
        <w:tblStyle w:val="Peentabel12"/>
        <w:tblW w:w="5000" w:type="pct"/>
        <w:tblLook w:val="04A0" w:firstRow="1" w:lastRow="0" w:firstColumn="1" w:lastColumn="0" w:noHBand="0" w:noVBand="1"/>
      </w:tblPr>
      <w:tblGrid>
        <w:gridCol w:w="3781"/>
        <w:gridCol w:w="1241"/>
        <w:gridCol w:w="1241"/>
        <w:gridCol w:w="1241"/>
        <w:gridCol w:w="1241"/>
        <w:gridCol w:w="1233"/>
      </w:tblGrid>
      <w:tr w:rsidR="00672FDF" w:rsidRPr="00E04AF6" w14:paraId="3DAD674D" w14:textId="77777777" w:rsidTr="00DA083D">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894" w:type="pct"/>
            <w:hideMark/>
          </w:tcPr>
          <w:p w14:paraId="6CD64044" w14:textId="77777777" w:rsidR="00672FDF" w:rsidRPr="00E04AF6" w:rsidRDefault="00672FDF" w:rsidP="00DA083D">
            <w:pPr>
              <w:spacing w:after="0"/>
              <w:rPr>
                <w:rFonts w:eastAsia="Calibri" w:cs="Segoe UI Light"/>
                <w:sz w:val="20"/>
                <w:lang w:eastAsia="et-EE"/>
              </w:rPr>
            </w:pPr>
            <w:r w:rsidRPr="00E04AF6">
              <w:rPr>
                <w:rFonts w:eastAsia="Calibri" w:cs="Segoe UI Light"/>
                <w:sz w:val="20"/>
                <w:lang w:eastAsia="et-EE"/>
              </w:rPr>
              <w:t> </w:t>
            </w:r>
          </w:p>
        </w:tc>
        <w:tc>
          <w:tcPr>
            <w:tcW w:w="622" w:type="pct"/>
            <w:noWrap/>
            <w:hideMark/>
          </w:tcPr>
          <w:p w14:paraId="726C55C7" w14:textId="77777777" w:rsidR="00672FDF" w:rsidRPr="00E04AF6" w:rsidRDefault="00672FDF" w:rsidP="008B0EAE">
            <w:pPr>
              <w:pStyle w:val="Tabelid"/>
              <w:jc w:val="right"/>
              <w:cnfStyle w:val="100000000000" w:firstRow="1" w:lastRow="0" w:firstColumn="0" w:lastColumn="0" w:oddVBand="0" w:evenVBand="0" w:oddHBand="0" w:evenHBand="0" w:firstRowFirstColumn="0" w:firstRowLastColumn="0" w:lastRowFirstColumn="0" w:lastRowLastColumn="0"/>
            </w:pPr>
            <w:r w:rsidRPr="00E04AF6">
              <w:t>2023</w:t>
            </w:r>
          </w:p>
        </w:tc>
        <w:tc>
          <w:tcPr>
            <w:tcW w:w="622" w:type="pct"/>
            <w:noWrap/>
            <w:hideMark/>
          </w:tcPr>
          <w:p w14:paraId="4123B4D8" w14:textId="77777777" w:rsidR="00672FDF" w:rsidRPr="00E04AF6" w:rsidRDefault="00672FDF" w:rsidP="008B0EAE">
            <w:pPr>
              <w:pStyle w:val="Tabelid"/>
              <w:jc w:val="right"/>
              <w:cnfStyle w:val="100000000000" w:firstRow="1" w:lastRow="0" w:firstColumn="0" w:lastColumn="0" w:oddVBand="0" w:evenVBand="0" w:oddHBand="0" w:evenHBand="0" w:firstRowFirstColumn="0" w:firstRowLastColumn="0" w:lastRowFirstColumn="0" w:lastRowLastColumn="0"/>
              <w:rPr>
                <w:b w:val="0"/>
              </w:rPr>
            </w:pPr>
            <w:r w:rsidRPr="00E04AF6">
              <w:t>2024</w:t>
            </w:r>
          </w:p>
        </w:tc>
        <w:tc>
          <w:tcPr>
            <w:tcW w:w="622" w:type="pct"/>
            <w:noWrap/>
            <w:hideMark/>
          </w:tcPr>
          <w:p w14:paraId="11DD9E8F" w14:textId="77777777" w:rsidR="00672FDF" w:rsidRPr="00E04AF6" w:rsidRDefault="00672FDF" w:rsidP="008B0EAE">
            <w:pPr>
              <w:pStyle w:val="Tabelid"/>
              <w:jc w:val="right"/>
              <w:cnfStyle w:val="100000000000" w:firstRow="1" w:lastRow="0" w:firstColumn="0" w:lastColumn="0" w:oddVBand="0" w:evenVBand="0" w:oddHBand="0" w:evenHBand="0" w:firstRowFirstColumn="0" w:firstRowLastColumn="0" w:lastRowFirstColumn="0" w:lastRowLastColumn="0"/>
            </w:pPr>
            <w:r w:rsidRPr="00E04AF6">
              <w:t>2025</w:t>
            </w:r>
          </w:p>
        </w:tc>
        <w:tc>
          <w:tcPr>
            <w:tcW w:w="622" w:type="pct"/>
            <w:noWrap/>
            <w:hideMark/>
          </w:tcPr>
          <w:p w14:paraId="7E18907D" w14:textId="77777777" w:rsidR="00672FDF" w:rsidRPr="00E04AF6" w:rsidRDefault="00672FDF" w:rsidP="008B0EAE">
            <w:pPr>
              <w:pStyle w:val="Tabelid"/>
              <w:jc w:val="right"/>
              <w:cnfStyle w:val="100000000000" w:firstRow="1" w:lastRow="0" w:firstColumn="0" w:lastColumn="0" w:oddVBand="0" w:evenVBand="0" w:oddHBand="0" w:evenHBand="0" w:firstRowFirstColumn="0" w:firstRowLastColumn="0" w:lastRowFirstColumn="0" w:lastRowLastColumn="0"/>
            </w:pPr>
            <w:r w:rsidRPr="00E04AF6">
              <w:t>2026</w:t>
            </w:r>
          </w:p>
        </w:tc>
        <w:tc>
          <w:tcPr>
            <w:tcW w:w="619" w:type="pct"/>
            <w:noWrap/>
            <w:hideMark/>
          </w:tcPr>
          <w:p w14:paraId="0F6C02A0" w14:textId="77777777" w:rsidR="00672FDF" w:rsidRPr="00E04AF6" w:rsidRDefault="00672FDF" w:rsidP="008B0EAE">
            <w:pPr>
              <w:pStyle w:val="Tabelid"/>
              <w:jc w:val="right"/>
              <w:cnfStyle w:val="100000000000" w:firstRow="1" w:lastRow="0" w:firstColumn="0" w:lastColumn="0" w:oddVBand="0" w:evenVBand="0" w:oddHBand="0" w:evenHBand="0" w:firstRowFirstColumn="0" w:firstRowLastColumn="0" w:lastRowFirstColumn="0" w:lastRowLastColumn="0"/>
            </w:pPr>
            <w:r w:rsidRPr="00E04AF6">
              <w:t>2027</w:t>
            </w:r>
          </w:p>
        </w:tc>
      </w:tr>
      <w:tr w:rsidR="00672FDF" w:rsidRPr="00E04AF6" w14:paraId="36E37F59" w14:textId="77777777" w:rsidTr="00DA083D">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894" w:type="pct"/>
            <w:hideMark/>
          </w:tcPr>
          <w:p w14:paraId="4060D122" w14:textId="77777777" w:rsidR="00672FDF" w:rsidRPr="00426DD3" w:rsidRDefault="00672FDF" w:rsidP="00426DD3">
            <w:pPr>
              <w:pStyle w:val="Tabelid"/>
            </w:pPr>
            <w:r w:rsidRPr="00426DD3">
              <w:t>Maksutulud kokku</w:t>
            </w:r>
          </w:p>
        </w:tc>
        <w:tc>
          <w:tcPr>
            <w:tcW w:w="622" w:type="pct"/>
            <w:noWrap/>
          </w:tcPr>
          <w:p w14:paraId="5D43EF39"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426DD3">
              <w:rPr>
                <w:b/>
                <w:bCs/>
              </w:rPr>
              <w:t>-0,15</w:t>
            </w:r>
          </w:p>
        </w:tc>
        <w:tc>
          <w:tcPr>
            <w:tcW w:w="622" w:type="pct"/>
            <w:noWrap/>
          </w:tcPr>
          <w:p w14:paraId="123D50CD"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426DD3">
              <w:rPr>
                <w:b/>
                <w:bCs/>
              </w:rPr>
              <w:t>0,20</w:t>
            </w:r>
          </w:p>
        </w:tc>
        <w:tc>
          <w:tcPr>
            <w:tcW w:w="622" w:type="pct"/>
            <w:noWrap/>
          </w:tcPr>
          <w:p w14:paraId="55517BF3"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426DD3">
              <w:rPr>
                <w:b/>
                <w:bCs/>
              </w:rPr>
              <w:t>-0,40</w:t>
            </w:r>
          </w:p>
        </w:tc>
        <w:tc>
          <w:tcPr>
            <w:tcW w:w="622" w:type="pct"/>
            <w:noWrap/>
          </w:tcPr>
          <w:p w14:paraId="320CEAF3"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426DD3">
              <w:rPr>
                <w:b/>
                <w:bCs/>
              </w:rPr>
              <w:t>0,22</w:t>
            </w:r>
          </w:p>
        </w:tc>
        <w:tc>
          <w:tcPr>
            <w:tcW w:w="619" w:type="pct"/>
            <w:noWrap/>
          </w:tcPr>
          <w:p w14:paraId="349E45AB"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426DD3">
              <w:rPr>
                <w:b/>
                <w:bCs/>
              </w:rPr>
              <w:t>0,29</w:t>
            </w:r>
          </w:p>
        </w:tc>
      </w:tr>
      <w:tr w:rsidR="00672FDF" w:rsidRPr="00E04AF6" w14:paraId="00FECA82" w14:textId="77777777" w:rsidTr="00DA083D">
        <w:trPr>
          <w:trHeight w:val="266"/>
        </w:trPr>
        <w:tc>
          <w:tcPr>
            <w:cnfStyle w:val="001000000000" w:firstRow="0" w:lastRow="0" w:firstColumn="1" w:lastColumn="0" w:oddVBand="0" w:evenVBand="0" w:oddHBand="0" w:evenHBand="0" w:firstRowFirstColumn="0" w:firstRowLastColumn="0" w:lastRowFirstColumn="0" w:lastRowLastColumn="0"/>
            <w:tcW w:w="1894" w:type="pct"/>
            <w:noWrap/>
            <w:hideMark/>
          </w:tcPr>
          <w:p w14:paraId="50994515" w14:textId="77777777" w:rsidR="00672FDF" w:rsidRPr="00426DD3" w:rsidRDefault="00672FDF" w:rsidP="00426DD3">
            <w:pPr>
              <w:pStyle w:val="Tabelid"/>
            </w:pPr>
            <w:r w:rsidRPr="00426DD3">
              <w:t>Tööjõumaksud</w:t>
            </w:r>
          </w:p>
        </w:tc>
        <w:tc>
          <w:tcPr>
            <w:tcW w:w="622" w:type="pct"/>
            <w:noWrap/>
          </w:tcPr>
          <w:p w14:paraId="22FC28F9"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-0,24</w:t>
            </w:r>
          </w:p>
        </w:tc>
        <w:tc>
          <w:tcPr>
            <w:tcW w:w="622" w:type="pct"/>
            <w:noWrap/>
          </w:tcPr>
          <w:p w14:paraId="3EBC92FA"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-0,47</w:t>
            </w:r>
          </w:p>
        </w:tc>
        <w:tc>
          <w:tcPr>
            <w:tcW w:w="622" w:type="pct"/>
            <w:noWrap/>
          </w:tcPr>
          <w:p w14:paraId="635F5556"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-1,16</w:t>
            </w:r>
          </w:p>
        </w:tc>
        <w:tc>
          <w:tcPr>
            <w:tcW w:w="622" w:type="pct"/>
            <w:noWrap/>
          </w:tcPr>
          <w:p w14:paraId="5B59C03F"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-0,64</w:t>
            </w:r>
          </w:p>
        </w:tc>
        <w:tc>
          <w:tcPr>
            <w:tcW w:w="619" w:type="pct"/>
            <w:noWrap/>
          </w:tcPr>
          <w:p w14:paraId="1D312255"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-0,72</w:t>
            </w:r>
          </w:p>
        </w:tc>
      </w:tr>
      <w:tr w:rsidR="00672FDF" w:rsidRPr="00E04AF6" w14:paraId="3895C0F5" w14:textId="77777777" w:rsidTr="00DA083D">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894" w:type="pct"/>
            <w:noWrap/>
          </w:tcPr>
          <w:p w14:paraId="49AB9679" w14:textId="77777777" w:rsidR="00672FDF" w:rsidRPr="00426DD3" w:rsidRDefault="00672FDF" w:rsidP="00426DD3">
            <w:pPr>
              <w:pStyle w:val="Tabelid"/>
            </w:pPr>
            <w:r w:rsidRPr="00426DD3">
              <w:t>Kapitalimaksud</w:t>
            </w:r>
          </w:p>
        </w:tc>
        <w:tc>
          <w:tcPr>
            <w:tcW w:w="622" w:type="pct"/>
            <w:noWrap/>
          </w:tcPr>
          <w:p w14:paraId="56B8711B"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pPr>
            <w:r w:rsidRPr="00426DD3">
              <w:t>-0,01</w:t>
            </w:r>
          </w:p>
        </w:tc>
        <w:tc>
          <w:tcPr>
            <w:tcW w:w="622" w:type="pct"/>
            <w:noWrap/>
          </w:tcPr>
          <w:p w14:paraId="7CD7F33E"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pPr>
            <w:r w:rsidRPr="00426DD3">
              <w:t>-0,03</w:t>
            </w:r>
          </w:p>
        </w:tc>
        <w:tc>
          <w:tcPr>
            <w:tcW w:w="622" w:type="pct"/>
            <w:noWrap/>
          </w:tcPr>
          <w:p w14:paraId="039B9AF2"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pPr>
            <w:r w:rsidRPr="00426DD3">
              <w:t>-0,07</w:t>
            </w:r>
          </w:p>
        </w:tc>
        <w:tc>
          <w:tcPr>
            <w:tcW w:w="622" w:type="pct"/>
            <w:noWrap/>
          </w:tcPr>
          <w:p w14:paraId="0393EE7D"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pPr>
            <w:r w:rsidRPr="00426DD3">
              <w:t>-0,04</w:t>
            </w:r>
          </w:p>
        </w:tc>
        <w:tc>
          <w:tcPr>
            <w:tcW w:w="619" w:type="pct"/>
            <w:noWrap/>
          </w:tcPr>
          <w:p w14:paraId="5D30EA34" w14:textId="77777777" w:rsidR="00672FDF" w:rsidRPr="00426DD3" w:rsidRDefault="00672FDF" w:rsidP="008B0EAE">
            <w:pPr>
              <w:pStyle w:val="Tabelid"/>
              <w:jc w:val="right"/>
              <w:cnfStyle w:val="000000100000" w:firstRow="0" w:lastRow="0" w:firstColumn="0" w:lastColumn="0" w:oddVBand="0" w:evenVBand="0" w:oddHBand="1" w:evenHBand="0" w:firstRowFirstColumn="0" w:firstRowLastColumn="0" w:lastRowFirstColumn="0" w:lastRowLastColumn="0"/>
            </w:pPr>
            <w:r w:rsidRPr="00426DD3">
              <w:t>0,00</w:t>
            </w:r>
          </w:p>
        </w:tc>
      </w:tr>
      <w:tr w:rsidR="00672FDF" w:rsidRPr="00E04AF6" w14:paraId="1C98FAE9" w14:textId="77777777" w:rsidTr="00DA083D">
        <w:trPr>
          <w:trHeight w:val="266"/>
        </w:trPr>
        <w:tc>
          <w:tcPr>
            <w:cnfStyle w:val="001000000000" w:firstRow="0" w:lastRow="0" w:firstColumn="1" w:lastColumn="0" w:oddVBand="0" w:evenVBand="0" w:oddHBand="0" w:evenHBand="0" w:firstRowFirstColumn="0" w:firstRowLastColumn="0" w:lastRowFirstColumn="0" w:lastRowLastColumn="0"/>
            <w:tcW w:w="1894" w:type="pct"/>
            <w:noWrap/>
          </w:tcPr>
          <w:p w14:paraId="64183857" w14:textId="77777777" w:rsidR="00672FDF" w:rsidRPr="00426DD3" w:rsidRDefault="00672FDF" w:rsidP="00426DD3">
            <w:pPr>
              <w:pStyle w:val="Tabelid"/>
            </w:pPr>
            <w:r w:rsidRPr="00426DD3">
              <w:t>Tarbimismaksud</w:t>
            </w:r>
          </w:p>
        </w:tc>
        <w:tc>
          <w:tcPr>
            <w:tcW w:w="622" w:type="pct"/>
            <w:noWrap/>
          </w:tcPr>
          <w:p w14:paraId="10364A6F"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0,10</w:t>
            </w:r>
          </w:p>
        </w:tc>
        <w:tc>
          <w:tcPr>
            <w:tcW w:w="622" w:type="pct"/>
            <w:noWrap/>
          </w:tcPr>
          <w:p w14:paraId="0DD23C39"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0,70</w:t>
            </w:r>
          </w:p>
        </w:tc>
        <w:tc>
          <w:tcPr>
            <w:tcW w:w="622" w:type="pct"/>
            <w:noWrap/>
          </w:tcPr>
          <w:p w14:paraId="555D1D83"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0,83</w:t>
            </w:r>
          </w:p>
        </w:tc>
        <w:tc>
          <w:tcPr>
            <w:tcW w:w="622" w:type="pct"/>
            <w:noWrap/>
          </w:tcPr>
          <w:p w14:paraId="70421D61"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0,89</w:t>
            </w:r>
          </w:p>
        </w:tc>
        <w:tc>
          <w:tcPr>
            <w:tcW w:w="619" w:type="pct"/>
            <w:noWrap/>
          </w:tcPr>
          <w:p w14:paraId="336DF692" w14:textId="77777777" w:rsidR="00672FDF" w:rsidRPr="00426DD3" w:rsidRDefault="00672FDF" w:rsidP="008B0EAE">
            <w:pPr>
              <w:pStyle w:val="Tabelid"/>
              <w:jc w:val="right"/>
              <w:cnfStyle w:val="000000000000" w:firstRow="0" w:lastRow="0" w:firstColumn="0" w:lastColumn="0" w:oddVBand="0" w:evenVBand="0" w:oddHBand="0" w:evenHBand="0" w:firstRowFirstColumn="0" w:firstRowLastColumn="0" w:lastRowFirstColumn="0" w:lastRowLastColumn="0"/>
            </w:pPr>
            <w:r w:rsidRPr="00426DD3">
              <w:t>1,01</w:t>
            </w:r>
          </w:p>
        </w:tc>
      </w:tr>
    </w:tbl>
    <w:p w14:paraId="33DE7524" w14:textId="77777777" w:rsidR="00672FDF" w:rsidRPr="00E04AF6" w:rsidRDefault="00672FDF" w:rsidP="00B56E1F">
      <w:pPr>
        <w:pStyle w:val="Mrkus"/>
        <w:rPr>
          <w:rFonts w:eastAsia="Times New Roman"/>
        </w:rPr>
      </w:pPr>
      <w:r w:rsidRPr="00E04AF6">
        <w:rPr>
          <w:rFonts w:eastAsia="Times New Roman"/>
        </w:rPr>
        <w:t>*Mõju võrreldes sellega, kui edasi kehtiks 31.12.2022 määrad/olukord. Mõju on tekkepõhine.</w:t>
      </w:r>
    </w:p>
    <w:p w14:paraId="7840BE44" w14:textId="77777777" w:rsidR="00672FDF" w:rsidRPr="00E04AF6" w:rsidRDefault="00672FDF" w:rsidP="00B56E1F">
      <w:pPr>
        <w:pStyle w:val="Mrkus"/>
        <w:rPr>
          <w:rFonts w:eastAsia="Times New Roman"/>
        </w:rPr>
      </w:pPr>
      <w:r w:rsidRPr="00E04AF6">
        <w:rPr>
          <w:rFonts w:eastAsia="Times New Roman"/>
        </w:rPr>
        <w:t>Allikas: Rahandusministeerium</w:t>
      </w:r>
    </w:p>
    <w:p w14:paraId="6E8BB8BD" w14:textId="77777777" w:rsidR="006D74DD" w:rsidRDefault="006D74DD" w:rsidP="00B56E1F">
      <w:pPr>
        <w:pStyle w:val="Mrkus"/>
        <w:rPr>
          <w:highlight w:val="yellow"/>
        </w:rPr>
        <w:sectPr w:rsidR="006D74DD" w:rsidSect="0032671F">
          <w:footerReference w:type="default" r:id="rId54"/>
          <w:endnotePr>
            <w:numFmt w:val="decimal"/>
          </w:endnotePr>
          <w:type w:val="continuous"/>
          <w:pgSz w:w="11906" w:h="16838"/>
          <w:pgMar w:top="964" w:right="964" w:bottom="964" w:left="964" w:header="709" w:footer="709" w:gutter="0"/>
          <w:cols w:space="708"/>
          <w:docGrid w:linePitch="360"/>
        </w:sectPr>
      </w:pPr>
    </w:p>
    <w:p w14:paraId="22B3D640" w14:textId="77777777" w:rsidR="00727901" w:rsidRPr="00672FDF" w:rsidRDefault="00727901" w:rsidP="00727901">
      <w:pPr>
        <w:pStyle w:val="Heading3"/>
      </w:pPr>
      <w:bookmarkStart w:id="178" w:name="_Toc18917280"/>
      <w:bookmarkStart w:id="179" w:name="_Toc62631852"/>
      <w:bookmarkStart w:id="180" w:name="_Toc64504572"/>
      <w:bookmarkStart w:id="181" w:name="_Toc143775509"/>
      <w:r w:rsidRPr="00672FDF">
        <w:lastRenderedPageBreak/>
        <w:t>Maksukulu</w:t>
      </w:r>
      <w:bookmarkEnd w:id="178"/>
      <w:bookmarkEnd w:id="179"/>
      <w:bookmarkEnd w:id="180"/>
      <w:bookmarkEnd w:id="181"/>
    </w:p>
    <w:p w14:paraId="3E873771" w14:textId="77777777" w:rsidR="00E97738" w:rsidRPr="00E04AF6" w:rsidRDefault="00E97738" w:rsidP="00E97738">
      <w:pPr>
        <w:pStyle w:val="Alapunkt"/>
        <w:sectPr w:rsidR="00E97738" w:rsidRPr="00E04AF6" w:rsidSect="006D74DD">
          <w:endnotePr>
            <w:numFmt w:val="decimal"/>
          </w:endnotePr>
          <w:pgSz w:w="11906" w:h="16838"/>
          <w:pgMar w:top="964" w:right="964" w:bottom="964" w:left="964" w:header="709" w:footer="709" w:gutter="0"/>
          <w:cols w:space="708"/>
          <w:docGrid w:linePitch="360"/>
        </w:sectPr>
      </w:pPr>
      <w:bookmarkStart w:id="182" w:name="_Ref511655098"/>
      <w:bookmarkStart w:id="183" w:name="_Ref524372541"/>
      <w:bookmarkStart w:id="184" w:name="_Ref131626433"/>
      <w:bookmarkStart w:id="185" w:name="_Hlk143542179"/>
      <w:r w:rsidRPr="00E04AF6">
        <w:t xml:space="preserve">Mitme maksusoodustuse kaotamisega väheneb lähiaastatel maksukulude osakaal SKPst </w:t>
      </w:r>
    </w:p>
    <w:p w14:paraId="6466B893" w14:textId="77777777" w:rsidR="00E97738" w:rsidRPr="00E04AF6" w:rsidRDefault="00E97738" w:rsidP="00E97738">
      <w:pPr>
        <w:jc w:val="both"/>
        <w:rPr>
          <w:rFonts w:ascii="Calibri" w:eastAsia="Calibri" w:hAnsi="Calibri" w:cs="Times New Roman"/>
        </w:rPr>
      </w:pPr>
      <w:bookmarkStart w:id="186" w:name="_Ref68395600"/>
      <w:bookmarkStart w:id="187" w:name="_Ref18482091"/>
      <w:bookmarkStart w:id="188" w:name="_Ref68395591"/>
      <w:bookmarkStart w:id="189" w:name="_Toc68514384"/>
      <w:bookmarkEnd w:id="182"/>
      <w:bookmarkEnd w:id="183"/>
      <w:r w:rsidRPr="00E04AF6">
        <w:rPr>
          <w:rFonts w:ascii="Calibri" w:eastAsia="Calibri" w:hAnsi="Calibri" w:cs="Times New Roman"/>
        </w:rPr>
        <w:t>Erinevad maksusoodustused ja mahaarvamised on riigi vaates maksukulu, mis on valitsuse instrumendiks sotsiaal- või majanduspoliitika suunamisel ning annab maksusoodustusi teatud tunnustega maksu</w:t>
      </w:r>
      <w:r w:rsidRPr="00E04AF6">
        <w:rPr>
          <w:rFonts w:ascii="Calibri" w:eastAsia="Calibri" w:hAnsi="Calibri" w:cs="Times New Roman"/>
        </w:rPr>
        <w:softHyphen/>
        <w:t>maksjatele</w:t>
      </w:r>
      <w:r w:rsidRPr="00E04AF6">
        <w:rPr>
          <w:rFonts w:ascii="Calibri" w:eastAsia="Calibri" w:hAnsi="Calibri" w:cs="Times New Roman"/>
          <w:vertAlign w:val="superscript"/>
        </w:rPr>
        <w:endnoteReference w:id="7"/>
      </w:r>
      <w:r w:rsidRPr="00E04AF6">
        <w:rPr>
          <w:rFonts w:ascii="Calibri" w:eastAsia="Calibri" w:hAnsi="Calibri" w:cs="Times New Roman"/>
        </w:rPr>
        <w:t>.</w:t>
      </w:r>
    </w:p>
    <w:p w14:paraId="53C3C707" w14:textId="7C4CE0CD" w:rsidR="00E97738" w:rsidRPr="00E04AF6" w:rsidRDefault="00E97738" w:rsidP="00E97738">
      <w:pPr>
        <w:jc w:val="both"/>
        <w:rPr>
          <w:rFonts w:ascii="Calibri" w:eastAsia="Calibri" w:hAnsi="Calibri" w:cs="Times New Roman"/>
        </w:rPr>
      </w:pPr>
      <w:r w:rsidRPr="00E04AF6">
        <w:rPr>
          <w:rFonts w:ascii="Calibri" w:eastAsia="Calibri" w:hAnsi="Calibri" w:cs="Times New Roman"/>
          <w:b/>
          <w:bCs/>
        </w:rPr>
        <w:t>2023. ja 2024. aasta riigieelarvete laekumist mõjutavad 28 suuremat maksukulu sätet</w:t>
      </w:r>
      <w:r w:rsidRPr="00E04AF6">
        <w:rPr>
          <w:rFonts w:ascii="Calibri" w:eastAsia="Calibri" w:hAnsi="Calibri" w:cs="Times New Roman"/>
        </w:rPr>
        <w:t xml:space="preserve"> käibemaksu</w:t>
      </w:r>
      <w:r w:rsidRPr="00E04AF6">
        <w:rPr>
          <w:rFonts w:ascii="Calibri" w:eastAsia="Calibri" w:hAnsi="Calibri" w:cs="Times New Roman"/>
        </w:rPr>
        <w:softHyphen/>
        <w:t>seaduses, tulumaksuseaduses ning alkoholi-, tubaka-, kütuse- ja elektriaktsiisi seaduses. Kokku moodustab peamiste maksukulude maht 2023. aastal 424,2 mln eurot ehk 1,1% SKPst ja 4,0% maksutuludest. Võrreldes aasta varasemaga suurenevad maksukulud aastaga 23,6%</w:t>
      </w:r>
      <w:r w:rsidR="00A377C1">
        <w:rPr>
          <w:rFonts w:ascii="Calibri" w:eastAsia="Calibri" w:hAnsi="Calibri" w:cs="Times New Roman"/>
        </w:rPr>
        <w:t xml:space="preserve"> (</w:t>
      </w:r>
      <w:r w:rsidR="00A377C1">
        <w:rPr>
          <w:rFonts w:ascii="Calibri" w:eastAsia="Calibri" w:hAnsi="Calibri" w:cs="Times New Roman"/>
        </w:rPr>
        <w:fldChar w:fldCharType="begin"/>
      </w:r>
      <w:r w:rsidR="00A377C1">
        <w:rPr>
          <w:rFonts w:ascii="Calibri" w:eastAsia="Calibri" w:hAnsi="Calibri" w:cs="Times New Roman"/>
        </w:rPr>
        <w:instrText xml:space="preserve"> REF _Ref143758387 \h </w:instrText>
      </w:r>
      <w:r w:rsidR="00A377C1">
        <w:rPr>
          <w:rFonts w:ascii="Calibri" w:eastAsia="Calibri" w:hAnsi="Calibri" w:cs="Times New Roman"/>
        </w:rPr>
      </w:r>
      <w:r w:rsidR="00A377C1">
        <w:rPr>
          <w:rFonts w:ascii="Calibri" w:eastAsia="Calibri" w:hAnsi="Calibri" w:cs="Times New Roman"/>
        </w:rPr>
        <w:fldChar w:fldCharType="separate"/>
      </w:r>
      <w:r w:rsidR="00A377C1" w:rsidRPr="00E04AF6">
        <w:t xml:space="preserve">Joonis </w:t>
      </w:r>
      <w:r w:rsidR="00A377C1">
        <w:rPr>
          <w:noProof/>
        </w:rPr>
        <w:t>19</w:t>
      </w:r>
      <w:r w:rsidR="00A377C1">
        <w:rPr>
          <w:rFonts w:ascii="Calibri" w:eastAsia="Calibri" w:hAnsi="Calibri" w:cs="Times New Roman"/>
        </w:rPr>
        <w:fldChar w:fldCharType="end"/>
      </w:r>
      <w:r w:rsidR="00A377C1">
        <w:rPr>
          <w:rFonts w:ascii="Calibri" w:eastAsia="Calibri" w:hAnsi="Calibri" w:cs="Times New Roman"/>
        </w:rPr>
        <w:t>)</w:t>
      </w:r>
      <w:r w:rsidRPr="00E04AF6">
        <w:rPr>
          <w:rFonts w:ascii="Calibri" w:eastAsia="Calibri" w:hAnsi="Calibri" w:cs="Times New Roman"/>
        </w:rPr>
        <w:t>. Käesoleva aasta maksukulude suurenemine tuleneb eelkõige uute maksusoodustuste lisandumise tõttu, millest suurima mõjuga on rakenduv vanaduspensioniealiste maksuvaba tulu keskmise pensioni ulatuses.</w:t>
      </w:r>
    </w:p>
    <w:p w14:paraId="18B73967" w14:textId="77777777" w:rsidR="00E97738" w:rsidRPr="003539EA" w:rsidRDefault="00E97738" w:rsidP="00E97738">
      <w:pPr>
        <w:jc w:val="both"/>
        <w:rPr>
          <w:rFonts w:ascii="Calibri" w:eastAsia="Calibri" w:hAnsi="Calibri" w:cs="Times New Roman"/>
        </w:rPr>
      </w:pPr>
      <w:r w:rsidRPr="00E04AF6">
        <w:rPr>
          <w:rFonts w:ascii="Calibri" w:eastAsia="Calibri" w:hAnsi="Calibri" w:cs="Times New Roman"/>
          <w:b/>
          <w:bCs/>
        </w:rPr>
        <w:t>2023. aastal on suurima maksukuluga madalama käibemaksumääraga maksustatud ravimid ja meditsiini</w:t>
      </w:r>
      <w:r w:rsidRPr="00E04AF6">
        <w:rPr>
          <w:rFonts w:ascii="Calibri" w:eastAsia="Calibri" w:hAnsi="Calibri" w:cs="Times New Roman"/>
          <w:b/>
          <w:bCs/>
        </w:rPr>
        <w:softHyphen/>
        <w:t>seadmed</w:t>
      </w:r>
      <w:r w:rsidRPr="00E04AF6">
        <w:rPr>
          <w:rFonts w:ascii="Calibri" w:eastAsia="Calibri" w:hAnsi="Calibri" w:cs="Times New Roman"/>
        </w:rPr>
        <w:t xml:space="preserve">, mis viib eelarvest 85,2 mln eurot. Suuruselt järgmised kaks maksukulu on regulaarselt jaotatava kasumi madalam maksumäär ja maksuvaba tulu pensionieas, vastavalt 70,5 mln ja 56,4 mln eurot. Kolme suurema maksukulu maht moodustab 2023. aastal täpselt 50% kehtestatud maksusoodustuste ja mahaarvamiste mahust. Järgmistel aastatel suureneb käibemaksu standardmäär 2 </w:t>
      </w:r>
      <w:proofErr w:type="spellStart"/>
      <w:r w:rsidRPr="00E04AF6">
        <w:rPr>
          <w:rFonts w:ascii="Calibri" w:eastAsia="Calibri" w:hAnsi="Calibri" w:cs="Times New Roman"/>
        </w:rPr>
        <w:t>pp</w:t>
      </w:r>
      <w:proofErr w:type="spellEnd"/>
      <w:r w:rsidRPr="00E04AF6">
        <w:rPr>
          <w:rFonts w:ascii="Calibri" w:eastAsia="Calibri" w:hAnsi="Calibri" w:cs="Times New Roman"/>
        </w:rPr>
        <w:t xml:space="preserve"> ning selle tulemusena suureneb ravimite ja meditsiini</w:t>
      </w:r>
      <w:r w:rsidRPr="00E04AF6">
        <w:rPr>
          <w:rFonts w:ascii="Calibri" w:eastAsia="Calibri" w:hAnsi="Calibri" w:cs="Times New Roman"/>
        </w:rPr>
        <w:softHyphen/>
        <w:t xml:space="preserve">seadmete maksukulude maht </w:t>
      </w:r>
      <w:r w:rsidRPr="00E04AF6">
        <w:rPr>
          <w:rFonts w:ascii="Calibri" w:eastAsia="Calibri" w:hAnsi="Calibri" w:cs="Times New Roman"/>
        </w:rPr>
        <w:t xml:space="preserve">enim, jäädes endiselt ka riigile kõige kulukamaks. </w:t>
      </w:r>
      <w:r w:rsidRPr="00E04AF6">
        <w:rPr>
          <w:rFonts w:ascii="Calibri" w:eastAsia="Calibri" w:hAnsi="Calibri" w:cs="Times New Roman"/>
          <w:b/>
          <w:bCs/>
        </w:rPr>
        <w:t xml:space="preserve">Kokku suureneb </w:t>
      </w:r>
      <w:bookmarkEnd w:id="186"/>
      <w:bookmarkEnd w:id="187"/>
      <w:bookmarkEnd w:id="188"/>
      <w:bookmarkEnd w:id="189"/>
      <w:r w:rsidRPr="00E04AF6">
        <w:rPr>
          <w:rFonts w:ascii="Calibri" w:eastAsia="Calibri" w:hAnsi="Calibri" w:cs="Times New Roman"/>
          <w:b/>
          <w:bCs/>
        </w:rPr>
        <w:t>maksukulu järgmisel aastal 19,2% võrra 505,8 mln euroni.</w:t>
      </w:r>
    </w:p>
    <w:p w14:paraId="068EE766" w14:textId="5362120A" w:rsidR="00727901" w:rsidRPr="004C6862" w:rsidRDefault="00727901" w:rsidP="00243EEC">
      <w:pPr>
        <w:pStyle w:val="Caption"/>
      </w:pPr>
      <w:bookmarkStart w:id="190" w:name="_Ref143758387"/>
      <w:bookmarkStart w:id="191" w:name="_Toc143775534"/>
      <w:r w:rsidRPr="00E04AF6">
        <w:t xml:space="preserve">Joonis </w:t>
      </w:r>
      <w:r w:rsidRPr="00E04AF6">
        <w:rPr>
          <w:noProof/>
        </w:rPr>
        <w:fldChar w:fldCharType="begin"/>
      </w:r>
      <w:r w:rsidRPr="00E04AF6">
        <w:rPr>
          <w:noProof/>
        </w:rPr>
        <w:instrText xml:space="preserve"> SEQ Joonis \* ARABIC </w:instrText>
      </w:r>
      <w:r w:rsidRPr="00E04AF6">
        <w:rPr>
          <w:noProof/>
        </w:rPr>
        <w:fldChar w:fldCharType="separate"/>
      </w:r>
      <w:r w:rsidR="00C5527F">
        <w:rPr>
          <w:noProof/>
        </w:rPr>
        <w:t>19</w:t>
      </w:r>
      <w:r w:rsidRPr="00E04AF6">
        <w:rPr>
          <w:noProof/>
        </w:rPr>
        <w:fldChar w:fldCharType="end"/>
      </w:r>
      <w:bookmarkEnd w:id="184"/>
      <w:bookmarkEnd w:id="190"/>
      <w:r w:rsidRPr="00E04AF6">
        <w:t xml:space="preserve">. Maksukulu (mln eurot ja </w:t>
      </w:r>
      <w:r w:rsidR="00C24FE8" w:rsidRPr="00E04AF6">
        <w:t>%</w:t>
      </w:r>
      <w:r w:rsidRPr="00E04AF6">
        <w:t xml:space="preserve"> SKPs</w:t>
      </w:r>
      <w:r w:rsidR="00C24FE8" w:rsidRPr="00E04AF6">
        <w:t>t</w:t>
      </w:r>
      <w:r w:rsidRPr="00E04AF6">
        <w:t>)</w:t>
      </w:r>
      <w:bookmarkEnd w:id="191"/>
    </w:p>
    <w:p w14:paraId="334FEC8D" w14:textId="1777BFE2" w:rsidR="00727901" w:rsidRPr="00414819" w:rsidRDefault="002D1AFF" w:rsidP="00962D18">
      <w:pPr>
        <w:pStyle w:val="Phitekst"/>
        <w:rPr>
          <w:highlight w:val="yellow"/>
        </w:rPr>
      </w:pPr>
      <w:r>
        <w:rPr>
          <w:noProof/>
          <w14:ligatures w14:val="none"/>
        </w:rPr>
        <w:drawing>
          <wp:inline distT="0" distB="0" distL="0" distR="0" wp14:anchorId="68090CC7" wp14:editId="62BF0866">
            <wp:extent cx="2943225" cy="1892174"/>
            <wp:effectExtent l="0" t="0" r="0" b="0"/>
            <wp:docPr id="784445708" name="Chart 1">
              <a:extLst xmlns:a="http://schemas.openxmlformats.org/drawingml/2006/main">
                <a:ext uri="{FF2B5EF4-FFF2-40B4-BE49-F238E27FC236}">
                  <a16:creationId xmlns:a16="http://schemas.microsoft.com/office/drawing/2014/main" id="{00000000-0008-0000-0100-00001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31B0CD3" w14:textId="1B63D5D5" w:rsidR="00E97738" w:rsidRPr="00E97738" w:rsidRDefault="00E97738" w:rsidP="00E97738">
      <w:pPr>
        <w:jc w:val="both"/>
        <w:rPr>
          <w:rFonts w:ascii="Calibri" w:eastAsia="Calibri" w:hAnsi="Calibri" w:cs="Times New Roman"/>
        </w:rPr>
        <w:sectPr w:rsidR="00E97738" w:rsidRPr="00E97738" w:rsidSect="00007B50">
          <w:footerReference w:type="default" r:id="rId56"/>
          <w:endnotePr>
            <w:numFmt w:val="decimal"/>
          </w:endnotePr>
          <w:type w:val="continuous"/>
          <w:pgSz w:w="11906" w:h="16838"/>
          <w:pgMar w:top="964" w:right="964" w:bottom="964" w:left="964" w:header="709" w:footer="709" w:gutter="0"/>
          <w:cols w:num="2" w:space="708"/>
          <w:docGrid w:linePitch="360"/>
        </w:sectPr>
      </w:pPr>
      <w:bookmarkStart w:id="192" w:name="_Hlk81519148"/>
      <w:r w:rsidRPr="00E04AF6">
        <w:rPr>
          <w:rFonts w:ascii="Calibri" w:eastAsia="Calibri" w:hAnsi="Calibri" w:cs="Times New Roman"/>
          <w:b/>
          <w:bCs/>
        </w:rPr>
        <w:t>Maksusoodustustega toetatakse kõige enam majandust, kuid tervishoid saab olema lähitulevikus prioriteediks.</w:t>
      </w:r>
      <w:r w:rsidRPr="00E04AF6">
        <w:rPr>
          <w:rFonts w:ascii="Calibri" w:eastAsia="Calibri" w:hAnsi="Calibri" w:cs="Times New Roman"/>
        </w:rPr>
        <w:t xml:space="preserve"> Maksukulu kaudu toetatakse aastatel 2023–2024 kümnest erinevast valitsemisfunktsioonist</w:t>
      </w:r>
      <w:r w:rsidRPr="00E04AF6">
        <w:rPr>
          <w:rFonts w:ascii="Calibri" w:eastAsia="Calibri" w:hAnsi="Calibri" w:cs="Times New Roman"/>
          <w:vertAlign w:val="superscript"/>
        </w:rPr>
        <w:endnoteReference w:id="8"/>
      </w:r>
      <w:r w:rsidRPr="00E04AF6">
        <w:rPr>
          <w:rFonts w:ascii="Calibri" w:eastAsia="Calibri" w:hAnsi="Calibri" w:cs="Times New Roman"/>
        </w:rPr>
        <w:t xml:space="preserve"> kuute (majandus; elamu- ja kommunaal</w:t>
      </w:r>
      <w:r w:rsidRPr="00E04AF6">
        <w:rPr>
          <w:rFonts w:ascii="Calibri" w:eastAsia="Calibri" w:hAnsi="Calibri" w:cs="Times New Roman"/>
        </w:rPr>
        <w:softHyphen/>
        <w:t>majandus; tervis</w:t>
      </w:r>
      <w:r w:rsidRPr="00E04AF6">
        <w:rPr>
          <w:rFonts w:ascii="Calibri" w:eastAsia="Calibri" w:hAnsi="Calibri" w:cs="Times New Roman"/>
        </w:rPr>
        <w:softHyphen/>
        <w:t xml:space="preserve">hoid; vaba aeg, kultuur ja religioon; haridus; sotsiaalne kaitse). </w:t>
      </w:r>
      <w:bookmarkEnd w:id="192"/>
      <w:r w:rsidRPr="00E04AF6">
        <w:rPr>
          <w:rFonts w:ascii="Calibri" w:eastAsia="Calibri" w:hAnsi="Calibri" w:cs="Times New Roman"/>
        </w:rPr>
        <w:t>2023. aastal moodustavad suurima osakaalu valitsemis</w:t>
      </w:r>
      <w:r w:rsidR="006D74DD">
        <w:rPr>
          <w:rFonts w:ascii="Calibri" w:eastAsia="Calibri" w:hAnsi="Calibri" w:cs="Times New Roman"/>
        </w:rPr>
        <w:softHyphen/>
      </w:r>
      <w:r w:rsidRPr="00E04AF6">
        <w:rPr>
          <w:rFonts w:ascii="Calibri" w:eastAsia="Calibri" w:hAnsi="Calibri" w:cs="Times New Roman"/>
        </w:rPr>
        <w:t xml:space="preserve">funktsioonid “majandus” 142,7 mln eurot ehk 33,6%, „sotsiaalne kaitse“ 114,9 mln eurot ehk 27,1% ning “tervis” 96,1 mln eurot ehk 22,7%. Ülejäänud valitsemisfunktsioonide alla kuuluva maksukulu maht moodustavad 70,4 mln eurot ehk 16,6% maksukulu kogumahust. Lisas </w:t>
      </w:r>
      <w:r w:rsidR="002B6B57">
        <w:rPr>
          <w:rFonts w:ascii="Calibri" w:eastAsia="Calibri" w:hAnsi="Calibri" w:cs="Times New Roman"/>
        </w:rPr>
        <w:t>3</w:t>
      </w:r>
      <w:r w:rsidRPr="00E04AF6">
        <w:rPr>
          <w:rFonts w:ascii="Calibri" w:eastAsia="Calibri" w:hAnsi="Calibri" w:cs="Times New Roman"/>
        </w:rPr>
        <w:t xml:space="preserve"> on </w:t>
      </w:r>
      <w:r w:rsidRPr="00E04AF6">
        <w:rPr>
          <w:rFonts w:ascii="Calibri" w:eastAsia="Calibri" w:hAnsi="Calibri" w:cs="Times New Roman"/>
        </w:rPr>
        <w:fldChar w:fldCharType="begin"/>
      </w:r>
      <w:r w:rsidRPr="00E04AF6">
        <w:rPr>
          <w:rFonts w:ascii="Calibri" w:eastAsia="Calibri" w:hAnsi="Calibri" w:cs="Times New Roman"/>
        </w:rPr>
        <w:instrText xml:space="preserve"> REF _Ref511054503 \h  \* MERGEFORMAT </w:instrText>
      </w:r>
      <w:r w:rsidRPr="00E04AF6">
        <w:rPr>
          <w:rFonts w:ascii="Calibri" w:eastAsia="Calibri" w:hAnsi="Calibri" w:cs="Times New Roman"/>
        </w:rPr>
      </w:r>
      <w:r w:rsidRPr="00E04AF6">
        <w:rPr>
          <w:rFonts w:ascii="Calibri" w:eastAsia="Calibri" w:hAnsi="Calibri" w:cs="Times New Roman"/>
        </w:rPr>
        <w:fldChar w:fldCharType="separate"/>
      </w:r>
      <w:r w:rsidR="00A377C1" w:rsidRPr="00A377C1">
        <w:rPr>
          <w:rFonts w:ascii="Calibri" w:eastAsia="Calibri" w:hAnsi="Calibri" w:cs="Times New Roman"/>
        </w:rPr>
        <w:t>Tabel 18</w:t>
      </w:r>
      <w:r w:rsidRPr="00E04AF6">
        <w:rPr>
          <w:rFonts w:ascii="Calibri" w:eastAsia="Calibri" w:hAnsi="Calibri" w:cs="Times New Roman"/>
        </w:rPr>
        <w:fldChar w:fldCharType="end"/>
      </w:r>
      <w:r w:rsidRPr="00E04AF6">
        <w:rPr>
          <w:rFonts w:ascii="Calibri" w:eastAsia="Calibri" w:hAnsi="Calibri" w:cs="Times New Roman"/>
        </w:rPr>
        <w:t>, kus näha maksukulu täpsem jaotus.</w:t>
      </w:r>
    </w:p>
    <w:bookmarkEnd w:id="185"/>
    <w:p w14:paraId="7F7A0FFC" w14:textId="08C4355E" w:rsidR="00727901" w:rsidRPr="00414819" w:rsidRDefault="00727901" w:rsidP="00727901">
      <w:pPr>
        <w:pStyle w:val="Phitekst"/>
        <w:rPr>
          <w:highlight w:val="yellow"/>
        </w:rPr>
      </w:pPr>
    </w:p>
    <w:p w14:paraId="3597844B" w14:textId="77777777" w:rsidR="00727901" w:rsidRPr="00414819" w:rsidRDefault="00727901" w:rsidP="00727901">
      <w:pPr>
        <w:pStyle w:val="Phitekst"/>
        <w:rPr>
          <w:highlight w:val="yellow"/>
        </w:rPr>
        <w:sectPr w:rsidR="00727901" w:rsidRPr="00414819" w:rsidSect="00727901">
          <w:footerReference w:type="default" r:id="rId57"/>
          <w:endnotePr>
            <w:numFmt w:val="decimal"/>
          </w:endnotePr>
          <w:type w:val="continuous"/>
          <w:pgSz w:w="11906" w:h="16838"/>
          <w:pgMar w:top="964" w:right="964" w:bottom="964" w:left="964" w:header="709" w:footer="709" w:gutter="0"/>
          <w:cols w:space="708"/>
          <w:docGrid w:linePitch="360"/>
        </w:sectPr>
      </w:pPr>
    </w:p>
    <w:p w14:paraId="36708C9E" w14:textId="15A72F71" w:rsidR="00F83E16" w:rsidRPr="00F7222D" w:rsidRDefault="00F83E16" w:rsidP="00E66452">
      <w:pPr>
        <w:pStyle w:val="Heading2"/>
      </w:pPr>
      <w:bookmarkStart w:id="193" w:name="_Toc143775510"/>
      <w:r w:rsidRPr="00F7222D">
        <w:lastRenderedPageBreak/>
        <w:t>VALITSUSSEKTORI FINANTSEERIMINE</w:t>
      </w:r>
      <w:bookmarkEnd w:id="170"/>
      <w:bookmarkEnd w:id="171"/>
      <w:bookmarkEnd w:id="193"/>
    </w:p>
    <w:p w14:paraId="2EBB59BD" w14:textId="39F3922B" w:rsidR="00630E72" w:rsidRPr="00414819" w:rsidRDefault="005D0ADE" w:rsidP="00BF4084">
      <w:pPr>
        <w:pStyle w:val="Alapunkt"/>
        <w:rPr>
          <w:highlight w:val="yellow"/>
        </w:rPr>
      </w:pPr>
      <w:r w:rsidRPr="00B37625">
        <w:t xml:space="preserve">Võlakoormus </w:t>
      </w:r>
      <w:r w:rsidR="001C13B9">
        <w:t>suurene</w:t>
      </w:r>
      <w:r w:rsidR="00B37625" w:rsidRPr="00B37625">
        <w:t>b iga-aastaselt</w:t>
      </w:r>
      <w:r w:rsidRPr="00B37625">
        <w:t>, rahavooline</w:t>
      </w:r>
      <w:r w:rsidRPr="00EA334A">
        <w:t xml:space="preserve"> puudujääk kaetakse võlakirjade ja laenude abil</w:t>
      </w:r>
      <w:r>
        <w:t>.</w:t>
      </w:r>
    </w:p>
    <w:p w14:paraId="58CEB933" w14:textId="50721CFF" w:rsidR="000164D8" w:rsidRPr="00414819" w:rsidRDefault="000164D8" w:rsidP="00BF4084">
      <w:pPr>
        <w:pStyle w:val="Alapunkt"/>
        <w:rPr>
          <w:b/>
          <w:highlight w:val="yellow"/>
        </w:rPr>
        <w:sectPr w:rsidR="000164D8" w:rsidRPr="00414819" w:rsidSect="00727901">
          <w:endnotePr>
            <w:numFmt w:val="decimal"/>
          </w:endnotePr>
          <w:pgSz w:w="11906" w:h="16838"/>
          <w:pgMar w:top="964" w:right="964" w:bottom="964" w:left="964" w:header="709" w:footer="709" w:gutter="0"/>
          <w:cols w:space="708"/>
          <w:docGrid w:linePitch="360"/>
        </w:sectPr>
      </w:pPr>
    </w:p>
    <w:p w14:paraId="3013AF35" w14:textId="51C018F5" w:rsidR="005D0ADE" w:rsidRPr="009746F2" w:rsidRDefault="005D0ADE" w:rsidP="005D0ADE">
      <w:pPr>
        <w:pStyle w:val="Phitekst"/>
        <w:rPr>
          <w:b/>
        </w:rPr>
      </w:pPr>
      <w:r w:rsidRPr="00652662">
        <w:rPr>
          <w:b/>
        </w:rPr>
        <w:t>Riigi rahavoog</w:t>
      </w:r>
      <w:r w:rsidRPr="00652662">
        <w:rPr>
          <w:bCs/>
        </w:rPr>
        <w:t xml:space="preserve"> on kogu prognoosiperioodi vältel negatiivne. Valitsussektori netopo</w:t>
      </w:r>
      <w:r w:rsidRPr="00E04AF6">
        <w:rPr>
          <w:bCs/>
        </w:rPr>
        <w:t xml:space="preserve">sitsioon ehk võla ja reservide taseme vahe suureneb tänavu </w:t>
      </w:r>
      <w:r w:rsidRPr="00E04AF6">
        <w:t>4,</w:t>
      </w:r>
      <w:r w:rsidR="00B40321" w:rsidRPr="00E04AF6">
        <w:t>7</w:t>
      </w:r>
      <w:r w:rsidR="009711DC">
        <w:t> </w:t>
      </w:r>
      <w:r w:rsidRPr="00E04AF6">
        <w:t>protsendipunkti võrra</w:t>
      </w:r>
      <w:r w:rsidRPr="00E04AF6">
        <w:rPr>
          <w:b/>
        </w:rPr>
        <w:t xml:space="preserve"> </w:t>
      </w:r>
      <w:r w:rsidRPr="00E04AF6">
        <w:rPr>
          <w:bCs/>
        </w:rPr>
        <w:t>(vt</w:t>
      </w:r>
      <w:r w:rsidR="006D74DD">
        <w:rPr>
          <w:bCs/>
        </w:rPr>
        <w:t xml:space="preserve"> </w:t>
      </w:r>
      <w:r w:rsidR="006D74DD">
        <w:rPr>
          <w:bCs/>
        </w:rPr>
        <w:fldChar w:fldCharType="begin"/>
      </w:r>
      <w:r w:rsidR="006D74DD">
        <w:rPr>
          <w:bCs/>
        </w:rPr>
        <w:instrText xml:space="preserve"> REF _Ref143756351 \h </w:instrText>
      </w:r>
      <w:r w:rsidR="006D74DD">
        <w:rPr>
          <w:bCs/>
        </w:rPr>
      </w:r>
      <w:r w:rsidR="006D74DD">
        <w:rPr>
          <w:bCs/>
        </w:rPr>
        <w:fldChar w:fldCharType="separate"/>
      </w:r>
      <w:r w:rsidR="00A377C1" w:rsidRPr="00EA334A">
        <w:t xml:space="preserve">Joonis </w:t>
      </w:r>
      <w:r w:rsidR="00A377C1">
        <w:rPr>
          <w:noProof/>
        </w:rPr>
        <w:t>20</w:t>
      </w:r>
      <w:r w:rsidR="006D74DD">
        <w:rPr>
          <w:bCs/>
        </w:rPr>
        <w:fldChar w:fldCharType="end"/>
      </w:r>
      <w:r w:rsidRPr="00E04AF6">
        <w:rPr>
          <w:bCs/>
        </w:rPr>
        <w:t xml:space="preserve">) ning halveneb negatiivse rahavoo survel ka edasistel aastatel. Käesolev prognoos arvestab juba uute maksumuudatuste mõju ja nendest tulenevate tulude ja kuludega. </w:t>
      </w:r>
      <w:r w:rsidR="003C7A6A" w:rsidRPr="00E04AF6">
        <w:rPr>
          <w:bCs/>
        </w:rPr>
        <w:t>P</w:t>
      </w:r>
      <w:r w:rsidRPr="00E04AF6">
        <w:rPr>
          <w:bCs/>
        </w:rPr>
        <w:t>rognoosis ei arvestata eelarvereeglitele vastavusega.</w:t>
      </w:r>
      <w:r w:rsidRPr="00B40321">
        <w:rPr>
          <w:bCs/>
        </w:rPr>
        <w:t xml:space="preserve"> </w:t>
      </w:r>
      <w:r w:rsidRPr="009746F2">
        <w:rPr>
          <w:bCs/>
        </w:rPr>
        <w:t>Suveprognoosi kohaselt on sel aastal riigieelarve positsioon nominaalses puudujäägis ning ka rahavoog kokku negatiivne</w:t>
      </w:r>
      <w:r w:rsidRPr="00567995">
        <w:rPr>
          <w:bCs/>
        </w:rPr>
        <w:t xml:space="preserve">. See tuleneb eelkõige </w:t>
      </w:r>
      <w:r w:rsidR="00567995">
        <w:rPr>
          <w:bCs/>
        </w:rPr>
        <w:t>endise</w:t>
      </w:r>
      <w:r w:rsidRPr="00567995">
        <w:rPr>
          <w:bCs/>
        </w:rPr>
        <w:t xml:space="preserve">lt pingelisest geopoliitilisest olukorrast ja sellest tulenevate riigi kaitse- ja sotsiaalkaitseliste kulutuste tõusust. </w:t>
      </w:r>
      <w:r w:rsidRPr="009746F2">
        <w:rPr>
          <w:bCs/>
        </w:rPr>
        <w:t xml:space="preserve">Lisaks riigieelarve positsioonile võetakse arvesse ka teisi tegureid, näiteks finantseerimistehingud, mille tõttu on rahavoog riigieelarve teenindamisest kokku negatiivne. </w:t>
      </w:r>
      <w:r w:rsidRPr="009746F2">
        <w:rPr>
          <w:b/>
        </w:rPr>
        <w:t>Põhiliselt tuleneb negatiivne rahavoog läbi kolme teguri: riigieelarve defitsiidi, riigikassa poolt tagasimakstava võla suuruse ning muude kohanduste.</w:t>
      </w:r>
    </w:p>
    <w:p w14:paraId="7E353F25" w14:textId="77777777" w:rsidR="005D0ADE" w:rsidRPr="00AF3880" w:rsidRDefault="005D0ADE" w:rsidP="005D0ADE">
      <w:pPr>
        <w:pStyle w:val="Phitekst"/>
        <w:rPr>
          <w:rStyle w:val="RhutusChar"/>
          <w:b w:val="0"/>
        </w:rPr>
      </w:pPr>
      <w:r w:rsidRPr="00AF3880">
        <w:rPr>
          <w:rStyle w:val="Strong"/>
        </w:rPr>
        <w:t>Riigieelarve negatiivset rahavoogu aastatel 2023–2027 rahastatakse lühi- ja pikaajaliste võlakirjaemissioonide ning uute laenude abil.</w:t>
      </w:r>
    </w:p>
    <w:p w14:paraId="5BC465CD" w14:textId="1AB9B1C2" w:rsidR="005D0ADE" w:rsidRDefault="005D0ADE" w:rsidP="005D0ADE">
      <w:pPr>
        <w:pStyle w:val="Caption"/>
      </w:pPr>
      <w:bookmarkStart w:id="194" w:name="_Ref143756351"/>
      <w:bookmarkStart w:id="195" w:name="_Toc143775535"/>
      <w:r w:rsidRPr="00EA334A">
        <w:t xml:space="preserve">Joonis </w:t>
      </w:r>
      <w:r w:rsidR="004C0EAE">
        <w:fldChar w:fldCharType="begin"/>
      </w:r>
      <w:r w:rsidR="004C0EAE">
        <w:instrText xml:space="preserve"> SEQ Joonis \* ARABIC </w:instrText>
      </w:r>
      <w:r w:rsidR="004C0EAE">
        <w:fldChar w:fldCharType="separate"/>
      </w:r>
      <w:r w:rsidR="00C5527F">
        <w:rPr>
          <w:noProof/>
        </w:rPr>
        <w:t>20</w:t>
      </w:r>
      <w:r w:rsidR="004C0EAE">
        <w:rPr>
          <w:noProof/>
        </w:rPr>
        <w:fldChar w:fldCharType="end"/>
      </w:r>
      <w:bookmarkEnd w:id="194"/>
      <w:r w:rsidRPr="00EA334A">
        <w:t>. Valitsussektori likviidsed varad, võlakoormus ja netopositsioon (% SKPst)</w:t>
      </w:r>
      <w:bookmarkEnd w:id="195"/>
    </w:p>
    <w:p w14:paraId="188250F4" w14:textId="0958D9F8" w:rsidR="005D0ADE" w:rsidRPr="00AF3880" w:rsidRDefault="002D1AFF" w:rsidP="005D0ADE">
      <w:r>
        <w:rPr>
          <w:noProof/>
          <w14:ligatures w14:val="none"/>
        </w:rPr>
        <w:drawing>
          <wp:inline distT="0" distB="0" distL="0" distR="0" wp14:anchorId="30AEAB4D" wp14:editId="191E3801">
            <wp:extent cx="2943225" cy="2127564"/>
            <wp:effectExtent l="0" t="0" r="0" b="0"/>
            <wp:docPr id="637491002" name="Chart 1">
              <a:extLst xmlns:a="http://schemas.openxmlformats.org/drawingml/2006/main">
                <a:ext uri="{FF2B5EF4-FFF2-40B4-BE49-F238E27FC236}">
                  <a16:creationId xmlns:a16="http://schemas.microsoft.com/office/drawing/2014/main" id="{00000000-0008-0000-0100-00001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E8CBEC9" w14:textId="77777777" w:rsidR="005D0ADE" w:rsidRPr="00AF3880" w:rsidRDefault="005D0ADE" w:rsidP="005D0ADE">
      <w:r w:rsidRPr="00AF3880">
        <w:rPr>
          <w:rStyle w:val="MrkusChar"/>
        </w:rPr>
        <w:t>Allikad: Rahandusministeerium, Eesti Statistikaamet</w:t>
      </w:r>
    </w:p>
    <w:p w14:paraId="28801111" w14:textId="75FC6AD1" w:rsidR="005D0ADE" w:rsidRPr="00AA0A27" w:rsidRDefault="005D0ADE" w:rsidP="005D0ADE">
      <w:pPr>
        <w:pStyle w:val="Phitekst"/>
        <w:rPr>
          <w:bCs/>
          <w:highlight w:val="yellow"/>
        </w:rPr>
      </w:pPr>
      <w:r w:rsidRPr="0023376B">
        <w:rPr>
          <w:bCs/>
        </w:rPr>
        <w:t>Eesti valitsussektori võlg suurenes 2022. aastal nominaalselt (+1 123 mln), kui ka osakaaluna SKPst 0,7</w:t>
      </w:r>
      <w:r w:rsidR="009711DC">
        <w:rPr>
          <w:bCs/>
        </w:rPr>
        <w:t> </w:t>
      </w:r>
      <w:r w:rsidRPr="0023376B">
        <w:rPr>
          <w:bCs/>
        </w:rPr>
        <w:t>protsendipunkti võrra. Nii riigi kui ka kohalike omavalitsuste võlakoormus kasvas eelmisel aastal (</w:t>
      </w:r>
      <w:r w:rsidRPr="0023376B">
        <w:t xml:space="preserve">vt </w:t>
      </w:r>
      <w:r w:rsidRPr="0023376B">
        <w:fldChar w:fldCharType="begin"/>
      </w:r>
      <w:r w:rsidRPr="0023376B">
        <w:instrText xml:space="preserve"> REF _Ref100182185 \h  \* MERGEFORMAT </w:instrText>
      </w:r>
      <w:r w:rsidRPr="0023376B">
        <w:fldChar w:fldCharType="separate"/>
      </w:r>
      <w:r w:rsidR="00A377C1" w:rsidRPr="001D6947">
        <w:t xml:space="preserve">Tabel </w:t>
      </w:r>
      <w:r w:rsidR="00A377C1">
        <w:t>20</w:t>
      </w:r>
      <w:r w:rsidRPr="0023376B">
        <w:fldChar w:fldCharType="end"/>
      </w:r>
      <w:r w:rsidRPr="0023376B">
        <w:t xml:space="preserve">, Lisa </w:t>
      </w:r>
      <w:r w:rsidR="002B6B57">
        <w:t>3</w:t>
      </w:r>
      <w:r w:rsidRPr="00DE26B5">
        <w:t>).</w:t>
      </w:r>
      <w:r w:rsidRPr="00DE26B5">
        <w:rPr>
          <w:bCs/>
        </w:rPr>
        <w:t xml:space="preserve"> Põhiline osa võla kasvust tulenes </w:t>
      </w:r>
      <w:r w:rsidRPr="00DE26B5">
        <w:rPr>
          <w:bCs/>
        </w:rPr>
        <w:t xml:space="preserve">riigikassa poolt möödunud aastal võetud täiendavatest võlakohustustest, sealhulgas laenud (CEB, </w:t>
      </w:r>
      <w:proofErr w:type="spellStart"/>
      <w:r w:rsidRPr="00DE26B5">
        <w:rPr>
          <w:bCs/>
        </w:rPr>
        <w:t>EIB’lt</w:t>
      </w:r>
      <w:proofErr w:type="spellEnd"/>
      <w:r w:rsidRPr="00DE26B5">
        <w:rPr>
          <w:rStyle w:val="EndnoteReference"/>
          <w:bCs/>
        </w:rPr>
        <w:endnoteReference w:id="9"/>
      </w:r>
      <w:r w:rsidRPr="00DE26B5">
        <w:rPr>
          <w:bCs/>
        </w:rPr>
        <w:t xml:space="preserve">) ja t-billide ja pikaajaliste võlakirjade </w:t>
      </w:r>
      <w:r w:rsidRPr="00F726AC">
        <w:rPr>
          <w:bCs/>
        </w:rPr>
        <w:t xml:space="preserve">emissioon. Negatiivse rahavoo survel suureneb käesoleval aastal võlatase nominaalselt ja samuti tõuseb </w:t>
      </w:r>
      <w:r w:rsidRPr="00E04AF6">
        <w:rPr>
          <w:bCs/>
        </w:rPr>
        <w:t>võlakoormus 19,</w:t>
      </w:r>
      <w:r w:rsidR="00877CAB" w:rsidRPr="00E04AF6">
        <w:rPr>
          <w:bCs/>
        </w:rPr>
        <w:t>4</w:t>
      </w:r>
      <w:r w:rsidRPr="00E04AF6">
        <w:rPr>
          <w:bCs/>
        </w:rPr>
        <w:t>%ni SKPst. Järk järgult suureneb võlakoormus ka järgnevatel aastatel ning jõuab prognoosiperioodi lõpul 30,</w:t>
      </w:r>
      <w:r w:rsidR="009D1CF9" w:rsidRPr="00E04AF6">
        <w:rPr>
          <w:bCs/>
        </w:rPr>
        <w:t>4</w:t>
      </w:r>
      <w:r w:rsidRPr="00E04AF6">
        <w:rPr>
          <w:bCs/>
        </w:rPr>
        <w:t>%ni SKPst.</w:t>
      </w:r>
    </w:p>
    <w:p w14:paraId="541B9051" w14:textId="011F4828" w:rsidR="005D0ADE" w:rsidRPr="00E04AF6" w:rsidRDefault="005D0ADE" w:rsidP="005D0ADE">
      <w:pPr>
        <w:pStyle w:val="Phitekst"/>
        <w:rPr>
          <w:bCs/>
        </w:rPr>
      </w:pPr>
      <w:r w:rsidRPr="00E04AF6">
        <w:rPr>
          <w:bCs/>
        </w:rPr>
        <w:t xml:space="preserve">Samuti on (vt </w:t>
      </w:r>
      <w:r w:rsidRPr="00E04AF6">
        <w:fldChar w:fldCharType="begin"/>
      </w:r>
      <w:r w:rsidRPr="00E04AF6">
        <w:instrText xml:space="preserve"> REF _Ref100182071 \h  \* MERGEFORMAT </w:instrText>
      </w:r>
      <w:r w:rsidRPr="00E04AF6">
        <w:fldChar w:fldCharType="separate"/>
      </w:r>
      <w:r w:rsidR="00A377C1" w:rsidRPr="001D6947">
        <w:t xml:space="preserve">Tabel </w:t>
      </w:r>
      <w:r w:rsidR="00A377C1">
        <w:t>19</w:t>
      </w:r>
      <w:r w:rsidRPr="00E04AF6">
        <w:fldChar w:fldCharType="end"/>
      </w:r>
      <w:r w:rsidRPr="00E04AF6">
        <w:t>, Lisa</w:t>
      </w:r>
      <w:r w:rsidRPr="00E04AF6">
        <w:rPr>
          <w:bCs/>
        </w:rPr>
        <w:t xml:space="preserve"> </w:t>
      </w:r>
      <w:r w:rsidR="00D76797" w:rsidRPr="00E04AF6">
        <w:rPr>
          <w:bCs/>
        </w:rPr>
        <w:t>3</w:t>
      </w:r>
      <w:r w:rsidRPr="00E04AF6">
        <w:rPr>
          <w:bCs/>
        </w:rPr>
        <w:t xml:space="preserve">) välja toodud keskvalitsuse tasemel konsolideeritud võlg nii kodumaise kui ka välisvõla osas, arvestades tehingud, mis on seotud valitsemissektori allsektoritega (sh kohustuste muutused). </w:t>
      </w:r>
      <w:r w:rsidR="00E87616" w:rsidRPr="00E04AF6">
        <w:rPr>
          <w:bCs/>
        </w:rPr>
        <w:t>Riigikassa poolt võetud võlakohustused olid tänavu juuli lõpu seisuga kokku 4,97 miljardit eurot, millest 3,36 mld (68%) moodustasid emiteeritud lühi- ja pikaajalised võlakirjad ning ülejäänud 1,61 mld (32%) võetud laenud. Käesoleval aastal on kavas kasutada lisaks lühiajalistele ja pikaajalistele võlakirjadele ka laenuraha. Keskvalitsuse panus valitsussektori võlakoormusesse tõuseb prognoosi</w:t>
      </w:r>
      <w:r w:rsidR="00E87616" w:rsidRPr="00E04AF6">
        <w:rPr>
          <w:bCs/>
        </w:rPr>
        <w:softHyphen/>
        <w:t>perioodi lõpul 16%lt 2</w:t>
      </w:r>
      <w:r w:rsidR="00F82085" w:rsidRPr="00E04AF6">
        <w:rPr>
          <w:bCs/>
        </w:rPr>
        <w:t>7</w:t>
      </w:r>
      <w:r w:rsidR="00E87616" w:rsidRPr="00E04AF6">
        <w:rPr>
          <w:bCs/>
        </w:rPr>
        <w:t>%ni SKPst</w:t>
      </w:r>
      <w:r w:rsidRPr="00E04AF6">
        <w:rPr>
          <w:bCs/>
        </w:rPr>
        <w:t>.</w:t>
      </w:r>
    </w:p>
    <w:p w14:paraId="407C56C8" w14:textId="57D7DEF8" w:rsidR="005D0ADE" w:rsidRPr="00AA0A27" w:rsidRDefault="005D0ADE" w:rsidP="005D0ADE">
      <w:pPr>
        <w:pStyle w:val="Phitekst"/>
        <w:rPr>
          <w:bCs/>
          <w:highlight w:val="yellow"/>
        </w:rPr>
      </w:pPr>
      <w:r w:rsidRPr="00DE26B5">
        <w:rPr>
          <w:bCs/>
        </w:rPr>
        <w:t>Kohalike omavalitsuste võlatase samuti kasvab järgnevatel aastatel seoses vajadusega finantseerida negatiivset raha</w:t>
      </w:r>
      <w:r w:rsidRPr="00DE26B5">
        <w:rPr>
          <w:bCs/>
        </w:rPr>
        <w:softHyphen/>
        <w:t xml:space="preserve">voogu. Võlakohustused tõusevad prognoosiperioodi lõpuks üle 1,48 miljardi euro, jõudes 3,1% juurde SKPst. See on aga viimase </w:t>
      </w:r>
      <w:r w:rsidR="008478E8">
        <w:rPr>
          <w:bCs/>
        </w:rPr>
        <w:t>viie</w:t>
      </w:r>
      <w:r w:rsidRPr="00DE26B5">
        <w:rPr>
          <w:bCs/>
        </w:rPr>
        <w:t xml:space="preserve"> aasta keskmisest suhtarvust (</w:t>
      </w:r>
      <w:r>
        <w:rPr>
          <w:bCs/>
        </w:rPr>
        <w:t>2</w:t>
      </w:r>
      <w:r w:rsidRPr="00DE26B5">
        <w:rPr>
          <w:bCs/>
        </w:rPr>
        <w:t>,</w:t>
      </w:r>
      <w:r>
        <w:rPr>
          <w:bCs/>
        </w:rPr>
        <w:t>9</w:t>
      </w:r>
      <w:r w:rsidRPr="00DE26B5">
        <w:rPr>
          <w:bCs/>
        </w:rPr>
        <w:t>%) veidi kõrgem.</w:t>
      </w:r>
    </w:p>
    <w:p w14:paraId="7D1A0AF2" w14:textId="79BEB6D4" w:rsidR="005D0ADE" w:rsidRPr="00DE26B5" w:rsidRDefault="005D0ADE" w:rsidP="005D0ADE">
      <w:pPr>
        <w:pStyle w:val="Phitekst"/>
        <w:rPr>
          <w:bCs/>
        </w:rPr>
      </w:pPr>
      <w:r w:rsidRPr="00DE26B5">
        <w:rPr>
          <w:rStyle w:val="Strong"/>
        </w:rPr>
        <w:t>Sotsiaalkindlustusfondid ehk Töötukassa ja Tervisekassa</w:t>
      </w:r>
      <w:r w:rsidRPr="00DE26B5">
        <w:rPr>
          <w:bCs/>
        </w:rPr>
        <w:t xml:space="preserve"> Eesti võlakoormusesse ei panusta.</w:t>
      </w:r>
    </w:p>
    <w:p w14:paraId="2A751CD7" w14:textId="31C9186A" w:rsidR="00116BC5" w:rsidRDefault="00116BC5" w:rsidP="00116BC5">
      <w:pPr>
        <w:pStyle w:val="Caption"/>
        <w:rPr>
          <w:highlight w:val="yellow"/>
        </w:rPr>
      </w:pPr>
      <w:bookmarkStart w:id="196" w:name="_Toc5215315"/>
      <w:bookmarkStart w:id="197" w:name="_Toc82084280"/>
      <w:bookmarkStart w:id="198" w:name="_Toc100230277"/>
      <w:bookmarkStart w:id="199" w:name="_Toc143775536"/>
      <w:r w:rsidRPr="001C13B9">
        <w:t xml:space="preserve">Joonis </w:t>
      </w:r>
      <w:r w:rsidR="004C0EAE">
        <w:fldChar w:fldCharType="begin"/>
      </w:r>
      <w:r w:rsidR="004C0EAE">
        <w:instrText xml:space="preserve"> SEQ Joonis \* ARABIC </w:instrText>
      </w:r>
      <w:r w:rsidR="004C0EAE">
        <w:fldChar w:fldCharType="separate"/>
      </w:r>
      <w:r w:rsidR="00C5527F">
        <w:rPr>
          <w:noProof/>
        </w:rPr>
        <w:t>21</w:t>
      </w:r>
      <w:r w:rsidR="004C0EAE">
        <w:rPr>
          <w:noProof/>
        </w:rPr>
        <w:fldChar w:fldCharType="end"/>
      </w:r>
      <w:r w:rsidRPr="001C13B9">
        <w:t xml:space="preserve">. </w:t>
      </w:r>
      <w:r w:rsidRPr="000B3D11">
        <w:t>Keskvalitsuse võla tagasimaksed</w:t>
      </w:r>
      <w:bookmarkEnd w:id="196"/>
      <w:bookmarkEnd w:id="197"/>
      <w:bookmarkEnd w:id="198"/>
      <w:bookmarkEnd w:id="199"/>
    </w:p>
    <w:p w14:paraId="69E02092" w14:textId="0812A74B" w:rsidR="00116BC5" w:rsidRPr="00F7222D" w:rsidRDefault="000B3D11" w:rsidP="00E87616">
      <w:pPr>
        <w:rPr>
          <w:noProof/>
          <w14:ligatures w14:val="none"/>
        </w:rPr>
        <w:sectPr w:rsidR="00116BC5" w:rsidRPr="00F7222D">
          <w:endnotePr>
            <w:numFmt w:val="decimal"/>
          </w:endnotePr>
          <w:type w:val="continuous"/>
          <w:pgSz w:w="11906" w:h="16838"/>
          <w:pgMar w:top="964" w:right="964" w:bottom="964" w:left="964" w:header="709" w:footer="709" w:gutter="0"/>
          <w:cols w:num="2" w:space="708"/>
        </w:sectPr>
      </w:pPr>
      <w:r>
        <w:rPr>
          <w:noProof/>
          <w14:ligatures w14:val="none"/>
        </w:rPr>
        <w:drawing>
          <wp:inline distT="0" distB="0" distL="0" distR="0" wp14:anchorId="4EA88A90" wp14:editId="71FA8C85">
            <wp:extent cx="2943225" cy="2095500"/>
            <wp:effectExtent l="0" t="0" r="0" b="0"/>
            <wp:docPr id="1367671375" name="Diagramm 1">
              <a:extLst xmlns:a="http://schemas.openxmlformats.org/drawingml/2006/main">
                <a:ext uri="{FF2B5EF4-FFF2-40B4-BE49-F238E27FC236}">
                  <a16:creationId xmlns:a16="http://schemas.microsoft.com/office/drawing/2014/main" id="{00000000-0008-0000-0100-00001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sidR="00116BC5" w:rsidRPr="00F7222D">
        <w:rPr>
          <w:rStyle w:val="MrkusChar"/>
        </w:rPr>
        <w:t>Allikas: Rahandusministeeriu</w:t>
      </w:r>
      <w:r w:rsidR="00F7222D">
        <w:rPr>
          <w:rStyle w:val="MrkusChar"/>
        </w:rPr>
        <w:t>m</w:t>
      </w:r>
    </w:p>
    <w:p w14:paraId="564E7148" w14:textId="77777777" w:rsidR="00116BC5" w:rsidRPr="00414819" w:rsidRDefault="00116BC5" w:rsidP="00116BC5">
      <w:pPr>
        <w:spacing w:after="0"/>
        <w:rPr>
          <w:b/>
          <w:i/>
          <w:highlight w:val="yellow"/>
        </w:rPr>
        <w:sectPr w:rsidR="00116BC5" w:rsidRPr="00414819">
          <w:endnotePr>
            <w:numFmt w:val="decimal"/>
          </w:endnotePr>
          <w:type w:val="continuous"/>
          <w:pgSz w:w="11906" w:h="16838"/>
          <w:pgMar w:top="964" w:right="964" w:bottom="964" w:left="964" w:header="709" w:footer="709" w:gutter="0"/>
          <w:cols w:space="708"/>
        </w:sectPr>
      </w:pPr>
    </w:p>
    <w:p w14:paraId="02621913" w14:textId="36898B69" w:rsidR="005D0ADE" w:rsidRPr="00AA0A27" w:rsidRDefault="005D0ADE" w:rsidP="005D0ADE">
      <w:pPr>
        <w:pStyle w:val="Phitekst"/>
        <w:rPr>
          <w:bCs/>
          <w:highlight w:val="yellow"/>
        </w:rPr>
      </w:pPr>
      <w:r w:rsidRPr="00DE26B5">
        <w:rPr>
          <w:b/>
        </w:rPr>
        <w:lastRenderedPageBreak/>
        <w:t>Prognoosiperioodi jooksul hoitakse keskvalitsuse tasemel vajalikku likviidsuspuhvrit rahavoogude teenindamiseks.</w:t>
      </w:r>
      <w:r w:rsidRPr="00DE26B5">
        <w:rPr>
          <w:bCs/>
        </w:rPr>
        <w:t xml:space="preserve"> Kõik laenatud raha on paigutatud likviidsusreservi, mis parandasid mullu Riigikassa likviidsust. Riigikassa võla moodustavad muuhulgas NIB</w:t>
      </w:r>
      <w:r w:rsidRPr="00DE26B5">
        <w:rPr>
          <w:rStyle w:val="EndnoteReference"/>
          <w:bCs/>
        </w:rPr>
        <w:endnoteReference w:id="10"/>
      </w:r>
      <w:r w:rsidRPr="00DE26B5">
        <w:rPr>
          <w:bCs/>
        </w:rPr>
        <w:t>-</w:t>
      </w:r>
      <w:proofErr w:type="spellStart"/>
      <w:r w:rsidRPr="00DE26B5">
        <w:rPr>
          <w:bCs/>
        </w:rPr>
        <w:t>lt</w:t>
      </w:r>
      <w:proofErr w:type="spellEnd"/>
      <w:r w:rsidRPr="00DE26B5">
        <w:rPr>
          <w:bCs/>
        </w:rPr>
        <w:t xml:space="preserve"> saadud laenuvahendid ning samuti nii lühiajalised kui ka pikaajalised võlakirjaemissioonid.</w:t>
      </w:r>
    </w:p>
    <w:p w14:paraId="08689937" w14:textId="77777777" w:rsidR="005D0ADE" w:rsidRPr="00B46410" w:rsidRDefault="005D0ADE" w:rsidP="005D0ADE">
      <w:pPr>
        <w:pStyle w:val="Phitekst"/>
        <w:rPr>
          <w:bCs/>
        </w:rPr>
      </w:pPr>
      <w:r w:rsidRPr="00B46410">
        <w:rPr>
          <w:bCs/>
        </w:rPr>
        <w:t>Prognoosi kohaselt vähenevad käesoleval aastal keskvalitsuse ja samuti ka kohalike omavalitsuste reservid. Tänavu suurenevad riigi toel sotsiaalkindlustusfondide (Tervisekassa, Töötukassa) reservid.</w:t>
      </w:r>
    </w:p>
    <w:p w14:paraId="2FCA8603" w14:textId="77777777" w:rsidR="005D0ADE" w:rsidRPr="00AA0A27" w:rsidRDefault="005D0ADE" w:rsidP="005D0ADE">
      <w:pPr>
        <w:pStyle w:val="Phitekst"/>
        <w:rPr>
          <w:bCs/>
          <w:highlight w:val="yellow"/>
        </w:rPr>
      </w:pPr>
      <w:r w:rsidRPr="00DE26B5">
        <w:rPr>
          <w:b/>
        </w:rPr>
        <w:t xml:space="preserve">Järgnevatel aastatel on ette näha valitsussektori reservide taseme </w:t>
      </w:r>
      <w:r>
        <w:rPr>
          <w:b/>
        </w:rPr>
        <w:t>püsi</w:t>
      </w:r>
      <w:r w:rsidRPr="00DE26B5">
        <w:rPr>
          <w:b/>
        </w:rPr>
        <w:t xml:space="preserve">mist </w:t>
      </w:r>
      <w:r>
        <w:rPr>
          <w:b/>
        </w:rPr>
        <w:t>6</w:t>
      </w:r>
      <w:r w:rsidRPr="00DE26B5">
        <w:rPr>
          <w:b/>
        </w:rPr>
        <w:t>% juur</w:t>
      </w:r>
      <w:r>
        <w:rPr>
          <w:b/>
        </w:rPr>
        <w:t>es</w:t>
      </w:r>
      <w:r w:rsidRPr="00DE26B5">
        <w:rPr>
          <w:b/>
        </w:rPr>
        <w:t xml:space="preserve"> SKPst, sealjuures hoiab riik vajalikku likviidsuse sihttaset, et tagada riigi kohustuste õigeaegset täitmist.</w:t>
      </w:r>
      <w:r w:rsidRPr="00DE26B5">
        <w:rPr>
          <w:bCs/>
        </w:rPr>
        <w:t xml:space="preserve"> Riigieelarve negatiivset rahavoogu rahastatakse esmalt likviidsusreservi arvelt, mille hulgas on juba eelnevalt kaasatud lisavahendid. Prognoosiperioodi lõpus ehk 2027. aastal moodustavad valitsussektori reservid 6,5% SKPst.</w:t>
      </w:r>
    </w:p>
    <w:p w14:paraId="0783DFF3" w14:textId="4A11317B" w:rsidR="005D0ADE" w:rsidRPr="00E04AF6" w:rsidRDefault="00070CC1" w:rsidP="005D0ADE">
      <w:pPr>
        <w:pStyle w:val="Phitekst"/>
        <w:rPr>
          <w:bCs/>
        </w:rPr>
      </w:pPr>
      <w:r w:rsidRPr="00E04AF6">
        <w:rPr>
          <w:bCs/>
        </w:rPr>
        <w:t>2022. aasta lõpus ulatusid keskvalitsuse reservid</w:t>
      </w:r>
      <w:r w:rsidRPr="00E04AF6">
        <w:rPr>
          <w:bCs/>
          <w:vertAlign w:val="superscript"/>
        </w:rPr>
        <w:endnoteReference w:id="11"/>
      </w:r>
      <w:r w:rsidRPr="00E04AF6">
        <w:rPr>
          <w:bCs/>
        </w:rPr>
        <w:t xml:space="preserve"> 2,51 mld euroni ehk 7%ni SKPst. Arvestuse kohaselt koosnevad keskvalitsuse reservid nii Riigikassa hallatavatest reservidest (sh stabiliseerimisreserv ning likviidsusreserv ilma sotsiaalkindlustus</w:t>
      </w:r>
      <w:r w:rsidRPr="00E04AF6">
        <w:rPr>
          <w:bCs/>
        </w:rPr>
        <w:softHyphen/>
        <w:t>fondideta) kui ka muude asutuste likviidsetest vahenditest</w:t>
      </w:r>
      <w:r w:rsidR="005D0ADE" w:rsidRPr="00E04AF6">
        <w:rPr>
          <w:bCs/>
        </w:rPr>
        <w:t>.</w:t>
      </w:r>
    </w:p>
    <w:p w14:paraId="693320B7" w14:textId="0D4C95C7" w:rsidR="005D0ADE" w:rsidRPr="00E04AF6" w:rsidRDefault="005D0ADE" w:rsidP="005D0ADE">
      <w:pPr>
        <w:pStyle w:val="Phitekst"/>
        <w:rPr>
          <w:bCs/>
        </w:rPr>
      </w:pPr>
      <w:r w:rsidRPr="00D2753C">
        <w:rPr>
          <w:b/>
        </w:rPr>
        <w:t>Stabiliseerimisreserv on finantsreserv kriisiolukordadeks, mida kasutatakse näiteks finantskriisides, eriolukordades ja üldmajanduslike riskide vähendamiseks</w:t>
      </w:r>
      <w:r w:rsidRPr="00E04AF6">
        <w:rPr>
          <w:b/>
        </w:rPr>
        <w:t>.</w:t>
      </w:r>
      <w:r w:rsidRPr="00E04AF6">
        <w:rPr>
          <w:bCs/>
        </w:rPr>
        <w:t xml:space="preserve"> Stabiliseerimisreservi tulusus oli rahaturu negatiivsete intressimäärade </w:t>
      </w:r>
      <w:r w:rsidRPr="00E04AF6">
        <w:rPr>
          <w:bCs/>
        </w:rPr>
        <w:t>tõttu 2022. aastal -1,66% (vt</w:t>
      </w:r>
      <w:r w:rsidR="00E513F0" w:rsidRPr="00E04AF6">
        <w:rPr>
          <w:bCs/>
        </w:rPr>
        <w:t xml:space="preserve"> </w:t>
      </w:r>
      <w:r w:rsidR="00E513F0" w:rsidRPr="00E04AF6">
        <w:rPr>
          <w:bCs/>
        </w:rPr>
        <w:fldChar w:fldCharType="begin"/>
      </w:r>
      <w:r w:rsidR="00E513F0" w:rsidRPr="00E04AF6">
        <w:rPr>
          <w:bCs/>
        </w:rPr>
        <w:instrText xml:space="preserve"> REF _Ref112071423 \h  \* MERGEFORMAT </w:instrText>
      </w:r>
      <w:r w:rsidR="00E513F0" w:rsidRPr="00E04AF6">
        <w:rPr>
          <w:bCs/>
        </w:rPr>
      </w:r>
      <w:r w:rsidR="00E513F0" w:rsidRPr="00E04AF6">
        <w:rPr>
          <w:bCs/>
        </w:rPr>
        <w:fldChar w:fldCharType="separate"/>
      </w:r>
      <w:r w:rsidR="00A377C1" w:rsidRPr="004B1416">
        <w:t xml:space="preserve">Joonis </w:t>
      </w:r>
      <w:r w:rsidR="00A377C1">
        <w:rPr>
          <w:noProof/>
        </w:rPr>
        <w:t>26</w:t>
      </w:r>
      <w:r w:rsidR="00E513F0" w:rsidRPr="00E04AF6">
        <w:rPr>
          <w:bCs/>
        </w:rPr>
        <w:fldChar w:fldCharType="end"/>
      </w:r>
      <w:r w:rsidRPr="00E04AF6">
        <w:rPr>
          <w:bCs/>
        </w:rPr>
        <w:t>)</w:t>
      </w:r>
      <w:r w:rsidR="00883BAD" w:rsidRPr="00E04AF6">
        <w:rPr>
          <w:bCs/>
        </w:rPr>
        <w:t xml:space="preserve">, kuid </w:t>
      </w:r>
      <w:r w:rsidR="00F7222D" w:rsidRPr="00E04AF6">
        <w:rPr>
          <w:bCs/>
        </w:rPr>
        <w:t xml:space="preserve">see on </w:t>
      </w:r>
      <w:r w:rsidR="00883BAD" w:rsidRPr="00E04AF6">
        <w:rPr>
          <w:bCs/>
        </w:rPr>
        <w:t>tänavu pöör</w:t>
      </w:r>
      <w:r w:rsidR="00E513F0" w:rsidRPr="00E04AF6">
        <w:rPr>
          <w:bCs/>
        </w:rPr>
        <w:t>du</w:t>
      </w:r>
      <w:r w:rsidR="00883BAD" w:rsidRPr="00E04AF6">
        <w:rPr>
          <w:bCs/>
        </w:rPr>
        <w:t>nud plusspoolele (+2,34%), mi</w:t>
      </w:r>
      <w:r w:rsidR="005C65F3" w:rsidRPr="00E04AF6">
        <w:rPr>
          <w:bCs/>
        </w:rPr>
        <w:t xml:space="preserve">lle toel </w:t>
      </w:r>
      <w:r w:rsidR="00883BAD" w:rsidRPr="00E04AF6">
        <w:rPr>
          <w:bCs/>
        </w:rPr>
        <w:t>reservi maht</w:t>
      </w:r>
      <w:r w:rsidR="005C65F3" w:rsidRPr="00E04AF6">
        <w:rPr>
          <w:bCs/>
        </w:rPr>
        <w:t xml:space="preserve"> </w:t>
      </w:r>
      <w:r w:rsidR="00E513F0" w:rsidRPr="00E04AF6">
        <w:rPr>
          <w:bCs/>
        </w:rPr>
        <w:t xml:space="preserve">hakkab taas </w:t>
      </w:r>
      <w:r w:rsidR="005C65F3" w:rsidRPr="00E04AF6">
        <w:rPr>
          <w:bCs/>
        </w:rPr>
        <w:t>suurene</w:t>
      </w:r>
      <w:r w:rsidR="00E513F0" w:rsidRPr="00E04AF6">
        <w:rPr>
          <w:bCs/>
        </w:rPr>
        <w:t>ma</w:t>
      </w:r>
      <w:r w:rsidRPr="00E04AF6">
        <w:rPr>
          <w:bCs/>
        </w:rPr>
        <w:t>.</w:t>
      </w:r>
    </w:p>
    <w:p w14:paraId="697AEDD9" w14:textId="71BBEE67" w:rsidR="005D0ADE" w:rsidRPr="00E04AF6" w:rsidRDefault="00070CC1" w:rsidP="005D0ADE">
      <w:pPr>
        <w:pStyle w:val="Phitekst"/>
        <w:rPr>
          <w:bCs/>
        </w:rPr>
      </w:pPr>
      <w:r w:rsidRPr="00E04AF6">
        <w:rPr>
          <w:b/>
        </w:rPr>
        <w:t>Likviidsusreservi kasutatakse riigi igapäevase rahavoo juhtimiseks ja selle maht muutub samuti igapäevaselt.</w:t>
      </w:r>
      <w:r w:rsidRPr="00E04AF6">
        <w:rPr>
          <w:bCs/>
        </w:rPr>
        <w:t xml:space="preserve"> Likviidsusreserv hõlmab arvestuslikult riigi, Tervisekassa, Töötukassa, mõningate sihtasutuste ja teiste isikute (nt Pensionikeskus) raha. Seega hõlmab arvestuslikult likviidsusreserv enamat, kui ainult keskvalitsuse likviidseid vahendeid. Seisuga </w:t>
      </w:r>
      <w:r w:rsidR="00FB2E0C" w:rsidRPr="00E04AF6">
        <w:rPr>
          <w:bCs/>
        </w:rPr>
        <w:t>31</w:t>
      </w:r>
      <w:r w:rsidRPr="00E04AF6">
        <w:rPr>
          <w:bCs/>
        </w:rPr>
        <w:t>.0</w:t>
      </w:r>
      <w:r w:rsidR="00FB2E0C" w:rsidRPr="00E04AF6">
        <w:rPr>
          <w:bCs/>
        </w:rPr>
        <w:t>7</w:t>
      </w:r>
      <w:r w:rsidRPr="00E04AF6">
        <w:rPr>
          <w:bCs/>
        </w:rPr>
        <w:t>.2023 oli riigi likviidsusreservis 1 </w:t>
      </w:r>
      <w:r w:rsidR="00FB2E0C" w:rsidRPr="00E04AF6">
        <w:rPr>
          <w:bCs/>
        </w:rPr>
        <w:t>897</w:t>
      </w:r>
      <w:r w:rsidRPr="00E04AF6">
        <w:rPr>
          <w:bCs/>
        </w:rPr>
        <w:t> mln eurot. Reservi paigutused on tehtud võlakirjadesse ja hoiustesse. Likviidsusreservi 2023. aasta oodatav tulusus on 2,90%.</w:t>
      </w:r>
    </w:p>
    <w:p w14:paraId="2C038C6D" w14:textId="281965A1" w:rsidR="005D0ADE" w:rsidRPr="00E04AF6" w:rsidRDefault="005D0ADE" w:rsidP="005D0ADE">
      <w:pPr>
        <w:pStyle w:val="Phitekst"/>
        <w:rPr>
          <w:bCs/>
        </w:rPr>
      </w:pPr>
      <w:r w:rsidRPr="00E04AF6">
        <w:rPr>
          <w:b/>
        </w:rPr>
        <w:t>Käesoleval aastal vähendab likviidsusreservi taset rahavooline puudujääk, mille täitmiseks kaasatakse prognoosi kohaselt täiendavaid vahendeid kokku 1 </w:t>
      </w:r>
      <w:r w:rsidR="00070CC1" w:rsidRPr="00E04AF6">
        <w:rPr>
          <w:b/>
        </w:rPr>
        <w:t>2</w:t>
      </w:r>
      <w:r w:rsidRPr="00E04AF6">
        <w:rPr>
          <w:b/>
        </w:rPr>
        <w:t>10 mln ulatuses.</w:t>
      </w:r>
      <w:r w:rsidRPr="00E04AF6">
        <w:rPr>
          <w:bCs/>
        </w:rPr>
        <w:t xml:space="preserve"> Võla kaasamist alustati märtsis </w:t>
      </w:r>
      <w:r w:rsidR="00D76797" w:rsidRPr="00E04AF6">
        <w:rPr>
          <w:bCs/>
        </w:rPr>
        <w:t xml:space="preserve">ja aprillis </w:t>
      </w:r>
      <w:r w:rsidRPr="00E04AF6">
        <w:rPr>
          <w:bCs/>
        </w:rPr>
        <w:t xml:space="preserve">kui emiteeriti lühiajalisi võlakirju kokku </w:t>
      </w:r>
      <w:r w:rsidR="00D76797" w:rsidRPr="00E04AF6">
        <w:rPr>
          <w:bCs/>
        </w:rPr>
        <w:t>362</w:t>
      </w:r>
      <w:r w:rsidRPr="00E04AF6">
        <w:rPr>
          <w:bCs/>
        </w:rPr>
        <w:t xml:space="preserve"> mln euro ulatuses tähtaegadega 6 ja 12 kuud, mis katavad riigikassa rahavoost tulenevaid vajadusi</w:t>
      </w:r>
      <w:r w:rsidR="00D76797" w:rsidRPr="00E04AF6">
        <w:rPr>
          <w:bCs/>
        </w:rPr>
        <w:t>. Tänavu juunis suurendati mullu oktoobris kaasatud (1 miljard eurot) pikaajalise võlakirjaemissiooni mahtu 500</w:t>
      </w:r>
      <w:r w:rsidR="008B0EAE">
        <w:rPr>
          <w:bCs/>
        </w:rPr>
        <w:t> </w:t>
      </w:r>
      <w:r w:rsidR="00D76797" w:rsidRPr="00E04AF6">
        <w:rPr>
          <w:bCs/>
        </w:rPr>
        <w:t xml:space="preserve">mln võrra.  Samuti sõlmiti </w:t>
      </w:r>
      <w:r w:rsidR="00FB2E0C" w:rsidRPr="00E04AF6">
        <w:rPr>
          <w:bCs/>
        </w:rPr>
        <w:t xml:space="preserve">300 mln </w:t>
      </w:r>
      <w:proofErr w:type="spellStart"/>
      <w:r w:rsidR="00FB2E0C" w:rsidRPr="00E04AF6">
        <w:rPr>
          <w:bCs/>
        </w:rPr>
        <w:t>eurone</w:t>
      </w:r>
      <w:proofErr w:type="spellEnd"/>
      <w:r w:rsidR="00FB2E0C" w:rsidRPr="00E04AF6">
        <w:rPr>
          <w:bCs/>
        </w:rPr>
        <w:t xml:space="preserve"> laenuleping EIB-</w:t>
      </w:r>
      <w:proofErr w:type="spellStart"/>
      <w:r w:rsidR="00FB2E0C" w:rsidRPr="00E04AF6">
        <w:rPr>
          <w:bCs/>
        </w:rPr>
        <w:t>ga</w:t>
      </w:r>
      <w:proofErr w:type="spellEnd"/>
      <w:r w:rsidR="00FB2E0C" w:rsidRPr="00E04AF6">
        <w:rPr>
          <w:bCs/>
        </w:rPr>
        <w:t xml:space="preserve"> (</w:t>
      </w:r>
      <w:proofErr w:type="spellStart"/>
      <w:r w:rsidR="00FB2E0C" w:rsidRPr="00E04AF6">
        <w:rPr>
          <w:bCs/>
        </w:rPr>
        <w:t>European</w:t>
      </w:r>
      <w:proofErr w:type="spellEnd"/>
      <w:r w:rsidR="00FB2E0C" w:rsidRPr="00E04AF6">
        <w:rPr>
          <w:bCs/>
        </w:rPr>
        <w:t xml:space="preserve"> Investment Bank), millest 210 mln eurot on plaanis kasutusse võtta käesoleval aastal. A</w:t>
      </w:r>
      <w:r w:rsidR="00D76797" w:rsidRPr="00E04AF6">
        <w:rPr>
          <w:bCs/>
        </w:rPr>
        <w:t>lustati eurokommertspaberi emiteerimisega (ECP), mis on alternatiiv T-billile</w:t>
      </w:r>
      <w:r w:rsidR="00FB2E0C" w:rsidRPr="00E04AF6">
        <w:rPr>
          <w:bCs/>
        </w:rPr>
        <w:t xml:space="preserve"> ning mille maht juuni lõpu seisuga oli  40 mln eurot</w:t>
      </w:r>
      <w:r w:rsidR="00D76797" w:rsidRPr="00E04AF6">
        <w:rPr>
          <w:bCs/>
        </w:rPr>
        <w:t xml:space="preserve">. </w:t>
      </w:r>
      <w:r w:rsidRPr="00E04AF6">
        <w:rPr>
          <w:bCs/>
        </w:rPr>
        <w:t>Riik võib lisanduva võlavajaduse katta nii laenude, lühi kui ka pikaajaliste võlakirjade emissioonidega.</w:t>
      </w:r>
    </w:p>
    <w:p w14:paraId="56A542AB" w14:textId="77777777" w:rsidR="00116BC5" w:rsidRPr="00414819" w:rsidRDefault="00116BC5" w:rsidP="00116BC5">
      <w:pPr>
        <w:pStyle w:val="Phitekst"/>
        <w:rPr>
          <w:highlight w:val="yellow"/>
        </w:rPr>
      </w:pPr>
    </w:p>
    <w:p w14:paraId="7D378F5E" w14:textId="77777777" w:rsidR="00BF4084" w:rsidRPr="00414819" w:rsidRDefault="00BF4084" w:rsidP="00BF4084">
      <w:pPr>
        <w:spacing w:after="0"/>
        <w:rPr>
          <w:rFonts w:cstheme="minorHAnsi"/>
          <w:highlight w:val="yellow"/>
        </w:rPr>
        <w:sectPr w:rsidR="00BF4084" w:rsidRPr="00414819">
          <w:endnotePr>
            <w:numFmt w:val="decimal"/>
          </w:endnotePr>
          <w:type w:val="continuous"/>
          <w:pgSz w:w="11906" w:h="16838"/>
          <w:pgMar w:top="964" w:right="964" w:bottom="964" w:left="964" w:header="709" w:footer="709" w:gutter="0"/>
          <w:cols w:num="2" w:space="708"/>
        </w:sectPr>
      </w:pPr>
    </w:p>
    <w:p w14:paraId="30B3921C" w14:textId="076433CE" w:rsidR="00201039" w:rsidRPr="00414819" w:rsidRDefault="00201039" w:rsidP="006F3B6B">
      <w:pPr>
        <w:rPr>
          <w:rFonts w:ascii="Roboto Condensed" w:hAnsi="Roboto Condensed"/>
          <w:sz w:val="20"/>
          <w:szCs w:val="20"/>
          <w:highlight w:val="yellow"/>
        </w:rPr>
        <w:sectPr w:rsidR="00201039" w:rsidRPr="00414819" w:rsidSect="0093189D">
          <w:endnotePr>
            <w:numFmt w:val="decimal"/>
          </w:endnotePr>
          <w:type w:val="continuous"/>
          <w:pgSz w:w="11906" w:h="16838"/>
          <w:pgMar w:top="964" w:right="964" w:bottom="964" w:left="964" w:header="709" w:footer="709" w:gutter="0"/>
          <w:cols w:space="708"/>
          <w:docGrid w:linePitch="360"/>
        </w:sectPr>
      </w:pPr>
      <w:bookmarkStart w:id="200" w:name="_Toc62631861"/>
      <w:bookmarkStart w:id="201" w:name="_Toc64504583"/>
      <w:bookmarkStart w:id="202" w:name="_Toc64844906"/>
    </w:p>
    <w:p w14:paraId="6FB8B55F" w14:textId="43ABCBBB" w:rsidR="00A05E1B" w:rsidRPr="00E04AF6" w:rsidRDefault="008C4223" w:rsidP="00E66452">
      <w:pPr>
        <w:pStyle w:val="Heading1"/>
      </w:pPr>
      <w:bookmarkStart w:id="203" w:name="_Toc143775511"/>
      <w:r w:rsidRPr="00E04AF6">
        <w:lastRenderedPageBreak/>
        <w:t>RISKISTSENAARIUM</w:t>
      </w:r>
      <w:bookmarkEnd w:id="203"/>
    </w:p>
    <w:bookmarkEnd w:id="200"/>
    <w:bookmarkEnd w:id="201"/>
    <w:bookmarkEnd w:id="202"/>
    <w:p w14:paraId="62196F41" w14:textId="77777777" w:rsidR="00C024F4" w:rsidRPr="00E04AF6" w:rsidRDefault="00C024F4" w:rsidP="00C024F4">
      <w:pPr>
        <w:pStyle w:val="Phitekst"/>
        <w:sectPr w:rsidR="00C024F4" w:rsidRPr="00E04AF6" w:rsidSect="005B7F4F">
          <w:endnotePr>
            <w:numFmt w:val="decimal"/>
          </w:endnotePr>
          <w:pgSz w:w="11906" w:h="16838"/>
          <w:pgMar w:top="964" w:right="964" w:bottom="964" w:left="964" w:header="709" w:footer="709" w:gutter="0"/>
          <w:cols w:space="708"/>
          <w:docGrid w:linePitch="360"/>
        </w:sectPr>
      </w:pPr>
    </w:p>
    <w:p w14:paraId="1EF0149A" w14:textId="569D4757" w:rsidR="00C024F4" w:rsidRPr="00920280" w:rsidRDefault="00C024F4" w:rsidP="00C024F4">
      <w:pPr>
        <w:pStyle w:val="Phitekst"/>
        <w:rPr>
          <w:bCs/>
        </w:rPr>
      </w:pPr>
      <w:r w:rsidRPr="00920280">
        <w:rPr>
          <w:bCs/>
        </w:rPr>
        <w:t>Riskistsenaariumi koostamise eesmärgiks on näidata majandusarengu alternatiivseid võimalusi ning nende mõju riigieelarvele.</w:t>
      </w:r>
    </w:p>
    <w:p w14:paraId="103B83EA" w14:textId="6A8F057B" w:rsidR="00BB4CF2" w:rsidRPr="00920280" w:rsidRDefault="00920280" w:rsidP="00BB4CF2">
      <w:pPr>
        <w:pStyle w:val="Heading4"/>
      </w:pPr>
      <w:r w:rsidRPr="00920280">
        <w:t>Kevadise</w:t>
      </w:r>
      <w:r w:rsidR="00BB4CF2" w:rsidRPr="00920280">
        <w:t xml:space="preserve"> prognoosi riskistsenaariumi täitumise ülevaade</w:t>
      </w:r>
    </w:p>
    <w:p w14:paraId="2DAFF089" w14:textId="77777777" w:rsidR="0050209F" w:rsidRPr="00E04AF6" w:rsidRDefault="0050209F" w:rsidP="0050209F">
      <w:pPr>
        <w:pStyle w:val="Phitekst"/>
        <w:rPr>
          <w:bCs/>
        </w:rPr>
      </w:pPr>
      <w:r w:rsidRPr="00E04AF6">
        <w:rPr>
          <w:bCs/>
        </w:rPr>
        <w:t>Kevadprognoosi koostamisel olid ilmnemas esimesed märgid languse lõppemisest, mistõttu ootasime põhistsenaariumis majanduse kasvurajale pöördumist alates suvest. Kevadprognoosi saatnud negatiivne stsenaarium nägi ette olulisemat konkurentsivõime kahjustumist ning negatiivsemat tööturu ja sisenõudluse väljavaadet. Suvise prognoosi koostamisel tuleb tõdeda, et kevadprognoosi saatnud riskid on realiseerunud osaliselt ehk peamiselt väliskaubandust puudutavas osas. Tööstussektori konkurentsivõime näitab langust, kuid ka meie peamiste kaubanduspartnerite majanduskasvu väljavaated on kehvemad. Samas ei ole nõrgema reaalmajanduse seisuga kaasnenud tööturu olukorra halvenemist. Vastupidi, tööpuuduse kasv on olnud vägagi mõõdukas ja palgakasv jätkub, mis toetab sisetarbimist. Osaliselt on selle taga tõdemus, et kiire inflatsiooni tingimustes on ettevõtete tulude kasv olnud piisav, et katta palgakulude tõusu ning agregeeritult on kasvanud nii kasumid kui paranenud ettevõtete finantsseis.</w:t>
      </w:r>
    </w:p>
    <w:p w14:paraId="00809903" w14:textId="372BF1A1" w:rsidR="00BB4CF2" w:rsidRPr="00E04AF6" w:rsidRDefault="00920280" w:rsidP="00BB4CF2">
      <w:pPr>
        <w:pStyle w:val="Heading4"/>
      </w:pPr>
      <w:r w:rsidRPr="00E04AF6">
        <w:t>Suvise</w:t>
      </w:r>
      <w:r w:rsidR="00BB4CF2" w:rsidRPr="00E04AF6">
        <w:t xml:space="preserve"> prognoosi riskistsenaarium</w:t>
      </w:r>
    </w:p>
    <w:p w14:paraId="4A6B31F7" w14:textId="77777777" w:rsidR="0050209F" w:rsidRPr="00E04AF6" w:rsidRDefault="0050209F" w:rsidP="0050209F">
      <w:pPr>
        <w:pStyle w:val="Phitekst"/>
        <w:rPr>
          <w:bCs/>
        </w:rPr>
      </w:pPr>
      <w:r w:rsidRPr="00E04AF6">
        <w:rPr>
          <w:bCs/>
        </w:rPr>
        <w:t>Eelmise aasta majandustulemused olid üllatavalt head, mistõttu puudus ettevõtetel vajadus oluliselt töötajate arvu kärpida. Aeglustuva inflatsiooni tõttu võib see vajadus sel aastal siiski tekkida, kuna käivete kasv aeglustub oluliselt, kuid palgasurve püsib tugev ning ekspordi väljavaade on nõrgenenud jahenevate naaberriikide majanduste ning Euroopa Keskpanga karmistuva rahapoliitika tõttu.</w:t>
      </w:r>
    </w:p>
    <w:p w14:paraId="0D68BFED" w14:textId="30225081" w:rsidR="0050209F" w:rsidRPr="00033BD0" w:rsidRDefault="0050209F" w:rsidP="0050209F">
      <w:pPr>
        <w:pStyle w:val="Phitekst"/>
        <w:rPr>
          <w:bCs/>
        </w:rPr>
      </w:pPr>
      <w:r w:rsidRPr="00E04AF6">
        <w:rPr>
          <w:rStyle w:val="Strong"/>
        </w:rPr>
        <w:t>Riskistsenaariumis oleme arvestanud majanduse jõulisema korrektsiooniga viimastel aastatel üles kerkinud probleemidele, mis langetavad nii käesoleva kui ka järgmise aasta majanduskasvu väljavaadet.</w:t>
      </w:r>
      <w:r w:rsidRPr="00E04AF6">
        <w:rPr>
          <w:bCs/>
        </w:rPr>
        <w:t xml:space="preserve"> Riskistsenaariumi kohaselt ulatub majanduslangus käesoleval aastal 2,5%ni ning järgmise aasta kasvu taastumine on oluliselt aeglasem (vt </w:t>
      </w:r>
      <w:r w:rsidRPr="00E04AF6">
        <w:rPr>
          <w:bCs/>
        </w:rPr>
        <w:fldChar w:fldCharType="begin"/>
      </w:r>
      <w:r w:rsidRPr="00E04AF6">
        <w:rPr>
          <w:bCs/>
        </w:rPr>
        <w:instrText xml:space="preserve"> REF _Ref112108027 \h  \* MERGEFORMAT </w:instrText>
      </w:r>
      <w:r w:rsidRPr="00E04AF6">
        <w:rPr>
          <w:bCs/>
        </w:rPr>
      </w:r>
      <w:r w:rsidRPr="00E04AF6">
        <w:rPr>
          <w:bCs/>
        </w:rPr>
        <w:fldChar w:fldCharType="separate"/>
      </w:r>
      <w:r w:rsidR="00A377C1" w:rsidRPr="00920280">
        <w:t xml:space="preserve">Joonis </w:t>
      </w:r>
      <w:r w:rsidR="00A377C1">
        <w:rPr>
          <w:noProof/>
        </w:rPr>
        <w:t>22</w:t>
      </w:r>
      <w:r w:rsidRPr="00E04AF6">
        <w:rPr>
          <w:bCs/>
        </w:rPr>
        <w:fldChar w:fldCharType="end"/>
      </w:r>
      <w:r w:rsidRPr="00E04AF6">
        <w:rPr>
          <w:bCs/>
        </w:rPr>
        <w:t xml:space="preserve">). Suurem reaktsioon ehk </w:t>
      </w:r>
      <w:r w:rsidRPr="00E04AF6">
        <w:rPr>
          <w:bCs/>
        </w:rPr>
        <w:t xml:space="preserve">langus võib toimuda olulisemate maksubaasi komponentide osas (vt täpsemalt Lisa 3 </w:t>
      </w:r>
      <w:r w:rsidRPr="00E04AF6">
        <w:rPr>
          <w:bCs/>
        </w:rPr>
        <w:fldChar w:fldCharType="begin"/>
      </w:r>
      <w:r w:rsidRPr="00E04AF6">
        <w:rPr>
          <w:bCs/>
        </w:rPr>
        <w:instrText xml:space="preserve"> REF _Ref511654389 \h  \* MERGEFORMAT </w:instrText>
      </w:r>
      <w:r w:rsidRPr="00E04AF6">
        <w:rPr>
          <w:bCs/>
        </w:rPr>
      </w:r>
      <w:r w:rsidRPr="00E04AF6">
        <w:rPr>
          <w:bCs/>
        </w:rPr>
        <w:fldChar w:fldCharType="separate"/>
      </w:r>
      <w:r w:rsidR="00A377C1" w:rsidRPr="00671E0C">
        <w:t xml:space="preserve">Tabel </w:t>
      </w:r>
      <w:r w:rsidR="00A377C1">
        <w:rPr>
          <w:noProof/>
        </w:rPr>
        <w:t>10</w:t>
      </w:r>
      <w:r w:rsidRPr="00E04AF6">
        <w:rPr>
          <w:bCs/>
        </w:rPr>
        <w:fldChar w:fldCharType="end"/>
      </w:r>
      <w:r w:rsidRPr="00E04AF6">
        <w:rPr>
          <w:bCs/>
        </w:rPr>
        <w:t xml:space="preserve">). </w:t>
      </w:r>
      <w:r w:rsidR="006A434B" w:rsidRPr="00E04AF6">
        <w:t>Eratarbimise taset on seni aidanud hoida varem kogunenud säästude kasutuselevõtmine, kuid riskistsenaarium arvestab säästude jaotuse ebaühtlusega, mis võib tähendada, et suurel osal elanikkonnast pole enam võimalik endiselt kiiret hinnatõusu isiklike säästude arvelt kompenseerida. See toob kaasa tarbimismahu languse 2023. aastal.</w:t>
      </w:r>
      <w:r w:rsidRPr="00E04AF6">
        <w:rPr>
          <w:bCs/>
        </w:rPr>
        <w:t xml:space="preserve"> SKP maht jooksevhindades on riskistsenaariumis ca 1 mld euro võrra väiksem, kuid ka majanduse maksusisaldus väheneb, tuues kaasa eelarvetulude suurema languse.</w:t>
      </w:r>
    </w:p>
    <w:p w14:paraId="6ECD883E" w14:textId="4450B9E4" w:rsidR="00BB4CF2" w:rsidRPr="00920280" w:rsidRDefault="00BB4CF2" w:rsidP="00BB4CF2">
      <w:pPr>
        <w:pStyle w:val="Caption"/>
      </w:pPr>
      <w:bookmarkStart w:id="204" w:name="_Ref112108027"/>
      <w:bookmarkStart w:id="205" w:name="_Toc143775537"/>
      <w:r w:rsidRPr="00920280">
        <w:t xml:space="preserve">Joonis </w:t>
      </w:r>
      <w:r w:rsidR="004C0EAE">
        <w:fldChar w:fldCharType="begin"/>
      </w:r>
      <w:r w:rsidR="004C0EAE">
        <w:instrText xml:space="preserve"> SEQ Joonis \* ARABIC </w:instrText>
      </w:r>
      <w:r w:rsidR="004C0EAE">
        <w:fldChar w:fldCharType="separate"/>
      </w:r>
      <w:r w:rsidR="00C5527F">
        <w:rPr>
          <w:noProof/>
        </w:rPr>
        <w:t>22</w:t>
      </w:r>
      <w:r w:rsidR="004C0EAE">
        <w:rPr>
          <w:noProof/>
        </w:rPr>
        <w:fldChar w:fldCharType="end"/>
      </w:r>
      <w:bookmarkEnd w:id="204"/>
      <w:r w:rsidRPr="00920280">
        <w:t>. Majanduse reaalkasv, negatiivne riskistsenaarium (%)</w:t>
      </w:r>
      <w:bookmarkEnd w:id="205"/>
    </w:p>
    <w:p w14:paraId="5DF0A2FD" w14:textId="08FDC1DC" w:rsidR="00BB4CF2" w:rsidRPr="00414819" w:rsidRDefault="00920280" w:rsidP="00BB4CF2">
      <w:pPr>
        <w:pStyle w:val="Phitekst"/>
        <w:rPr>
          <w:highlight w:val="yellow"/>
        </w:rPr>
      </w:pPr>
      <w:r>
        <w:rPr>
          <w:noProof/>
          <w14:ligatures w14:val="none"/>
        </w:rPr>
        <w:drawing>
          <wp:inline distT="0" distB="0" distL="0" distR="0" wp14:anchorId="0A02C781" wp14:editId="4348B008">
            <wp:extent cx="2831353" cy="1867647"/>
            <wp:effectExtent l="0" t="0" r="7620" b="0"/>
            <wp:docPr id="2027992223" name="Chart 1">
              <a:extLst xmlns:a="http://schemas.openxmlformats.org/drawingml/2006/main">
                <a:ext uri="{FF2B5EF4-FFF2-40B4-BE49-F238E27FC236}">
                  <a16:creationId xmlns:a16="http://schemas.microsoft.com/office/drawing/2014/main" id="{00000000-0008-0000-0100-00001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362E96D" w14:textId="77777777" w:rsidR="00FA3259" w:rsidRPr="006D74DD" w:rsidRDefault="00FA3259" w:rsidP="006D74DD">
      <w:pPr>
        <w:pStyle w:val="Heading4"/>
      </w:pPr>
      <w:r w:rsidRPr="006D74DD">
        <w:t>Riskistsenaariumis suurem eelarvepuudujääk</w:t>
      </w:r>
    </w:p>
    <w:p w14:paraId="727F1173" w14:textId="68AA1957" w:rsidR="0098545A" w:rsidRPr="00E04AF6" w:rsidRDefault="0098545A" w:rsidP="0098545A">
      <w:pPr>
        <w:pStyle w:val="Phitekst"/>
      </w:pPr>
      <w:r w:rsidRPr="00E04AF6">
        <w:t>Riskistsenaariumi tulude ja kulude prognoos tugi-neb makromajanduse vastavale prognoosile ja näeb ette valitsussektori eelarvepositsiooni halvenemist 0,3% võrra SKPst sel aastal ehk puudujääk ulatub 3,6%ni SKPst. Käesoleva aasta suurem puudujääk baasstsenaariumiga võrreldes tuleneb eelkõige maksutulude väiksemast laekumisest, mis mõjutab kõiki valitsussektori tasandeid. Ka järgnevate aastate majanduskasv on riskistsenaariumi kohaselt baasstsenaariumist madalam, mis kasvatab puudujääki järgmis</w:t>
      </w:r>
      <w:r w:rsidR="00BB0DB9" w:rsidRPr="00E04AF6">
        <w:t>t</w:t>
      </w:r>
      <w:r w:rsidRPr="00E04AF6">
        <w:t>el aasta</w:t>
      </w:r>
      <w:r w:rsidR="00BB0DB9" w:rsidRPr="00E04AF6">
        <w:t>te</w:t>
      </w:r>
      <w:r w:rsidRPr="00E04AF6">
        <w:t>l 0,7% võrra SKPst.</w:t>
      </w:r>
    </w:p>
    <w:p w14:paraId="01F18554" w14:textId="63BE3911" w:rsidR="00D86B19" w:rsidRPr="00E04AF6" w:rsidRDefault="00B37625" w:rsidP="00D86B19">
      <w:pPr>
        <w:pStyle w:val="Phitekst"/>
      </w:pPr>
      <w:r w:rsidRPr="00E04AF6">
        <w:t>Riskistsenaariumi kohaselt suureneb netovõlg kuni 1,9 protsendipunkti võrra. Baasstsenaariumist negatiivsem keskvalitsuse ja kohalike omavalitsuste eelarvepositsioon suurendavad riskistsenaariumis nende valitsussektori tasan</w:t>
      </w:r>
      <w:r w:rsidRPr="00E04AF6">
        <w:softHyphen/>
        <w:t>dite võla taset. Seega valitsussektori võlakoormus suureneb täiendava finantseerimisvajaduse tõttu riskistsenaariumis kuni</w:t>
      </w:r>
      <w:r w:rsidR="00F7222D" w:rsidRPr="00E04AF6">
        <w:t xml:space="preserve"> </w:t>
      </w:r>
      <w:r w:rsidRPr="00E04AF6">
        <w:lastRenderedPageBreak/>
        <w:t>1,6% võrra. Halvenenud sotsiaalkindlustusfondide eelarvepositsiooni läbi vähenevad valitsussektori reservid kuni 0,3 protsendipunkti võrra</w:t>
      </w:r>
      <w:r w:rsidR="001B6B82" w:rsidRPr="00E04AF6">
        <w:t>.</w:t>
      </w:r>
    </w:p>
    <w:p w14:paraId="6A60590B" w14:textId="77777777" w:rsidR="00C024F4" w:rsidRPr="00414819" w:rsidRDefault="00C024F4" w:rsidP="00F37D12">
      <w:pPr>
        <w:pStyle w:val="Phitekst"/>
        <w:rPr>
          <w:highlight w:val="yellow"/>
        </w:rPr>
        <w:sectPr w:rsidR="00C024F4" w:rsidRPr="00414819" w:rsidSect="001B6B82">
          <w:endnotePr>
            <w:numFmt w:val="decimal"/>
          </w:endnotePr>
          <w:type w:val="continuous"/>
          <w:pgSz w:w="11906" w:h="16838"/>
          <w:pgMar w:top="964" w:right="964" w:bottom="964" w:left="964" w:header="709" w:footer="709" w:gutter="0"/>
          <w:cols w:num="2" w:space="708"/>
          <w:docGrid w:linePitch="360"/>
        </w:sectPr>
      </w:pPr>
    </w:p>
    <w:p w14:paraId="116D41ED" w14:textId="15230E7C" w:rsidR="00D86B19" w:rsidRPr="00E04AF6" w:rsidRDefault="00D86B19" w:rsidP="00C33EB8">
      <w:pPr>
        <w:pStyle w:val="Caption"/>
      </w:pPr>
      <w:bookmarkStart w:id="206" w:name="_Toc4502663"/>
      <w:bookmarkStart w:id="207" w:name="_Toc68514423"/>
      <w:bookmarkStart w:id="208" w:name="_Toc143775546"/>
      <w:r w:rsidRPr="00E04AF6">
        <w:t xml:space="preserve">Tabel </w:t>
      </w:r>
      <w:r w:rsidRPr="00E04AF6">
        <w:rPr>
          <w:noProof/>
        </w:rPr>
        <w:fldChar w:fldCharType="begin"/>
      </w:r>
      <w:r w:rsidRPr="00E04AF6">
        <w:rPr>
          <w:noProof/>
        </w:rPr>
        <w:instrText xml:space="preserve"> SEQ Tabel \* ARABIC </w:instrText>
      </w:r>
      <w:r w:rsidRPr="00E04AF6">
        <w:rPr>
          <w:noProof/>
        </w:rPr>
        <w:fldChar w:fldCharType="separate"/>
      </w:r>
      <w:r w:rsidR="008478E8">
        <w:rPr>
          <w:noProof/>
        </w:rPr>
        <w:t>5</w:t>
      </w:r>
      <w:r w:rsidRPr="00E04AF6">
        <w:rPr>
          <w:noProof/>
        </w:rPr>
        <w:fldChar w:fldCharType="end"/>
      </w:r>
      <w:r w:rsidRPr="00E04AF6">
        <w:t>. Valitsussektori eelarvepositsioon riskistsenaariumi kohaselt 202</w:t>
      </w:r>
      <w:r w:rsidR="00FA3259" w:rsidRPr="00E04AF6">
        <w:t>3</w:t>
      </w:r>
      <w:r w:rsidRPr="00E04AF6">
        <w:t>-202</w:t>
      </w:r>
      <w:bookmarkEnd w:id="206"/>
      <w:bookmarkEnd w:id="207"/>
      <w:r w:rsidR="00FA3259" w:rsidRPr="00E04AF6">
        <w:t>5</w:t>
      </w:r>
      <w:bookmarkEnd w:id="208"/>
    </w:p>
    <w:tbl>
      <w:tblPr>
        <w:tblStyle w:val="TableSubtle1"/>
        <w:tblW w:w="9672" w:type="dxa"/>
        <w:tblInd w:w="237" w:type="dxa"/>
        <w:tblLayout w:type="fixed"/>
        <w:tblLook w:val="04A0" w:firstRow="1" w:lastRow="0" w:firstColumn="1" w:lastColumn="0" w:noHBand="0" w:noVBand="1"/>
      </w:tblPr>
      <w:tblGrid>
        <w:gridCol w:w="47"/>
        <w:gridCol w:w="4813"/>
        <w:gridCol w:w="802"/>
        <w:gridCol w:w="802"/>
        <w:gridCol w:w="802"/>
        <w:gridCol w:w="802"/>
        <w:gridCol w:w="802"/>
        <w:gridCol w:w="802"/>
      </w:tblGrid>
      <w:tr w:rsidR="0098545A" w:rsidRPr="00E04AF6" w14:paraId="16AC482E" w14:textId="77777777" w:rsidTr="002B7863">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4860" w:type="dxa"/>
            <w:gridSpan w:val="2"/>
            <w:tcBorders>
              <w:bottom w:val="single" w:sz="12" w:space="0" w:color="auto"/>
            </w:tcBorders>
            <w:hideMark/>
          </w:tcPr>
          <w:p w14:paraId="5E7D76F2" w14:textId="77777777" w:rsidR="0098545A" w:rsidRPr="00E04AF6" w:rsidRDefault="0098545A" w:rsidP="002B7863">
            <w:pPr>
              <w:pStyle w:val="Tabelid"/>
            </w:pPr>
            <w:r w:rsidRPr="00E04AF6">
              <w:t> </w:t>
            </w:r>
          </w:p>
        </w:tc>
        <w:tc>
          <w:tcPr>
            <w:tcW w:w="2406" w:type="dxa"/>
            <w:gridSpan w:val="3"/>
            <w:noWrap/>
          </w:tcPr>
          <w:p w14:paraId="0E490007" w14:textId="77777777" w:rsidR="0098545A" w:rsidRPr="00E04AF6" w:rsidRDefault="0098545A" w:rsidP="002B7863">
            <w:pPr>
              <w:pStyle w:val="Tabelid"/>
              <w:jc w:val="center"/>
              <w:cnfStyle w:val="100000000000" w:firstRow="1" w:lastRow="0" w:firstColumn="0" w:lastColumn="0" w:oddVBand="0" w:evenVBand="0" w:oddHBand="0" w:evenHBand="0" w:firstRowFirstColumn="0" w:firstRowLastColumn="0" w:lastRowFirstColumn="0" w:lastRowLastColumn="0"/>
            </w:pPr>
            <w:r w:rsidRPr="00E04AF6">
              <w:t>Riskistsenaarium</w:t>
            </w:r>
          </w:p>
        </w:tc>
        <w:tc>
          <w:tcPr>
            <w:tcW w:w="2406" w:type="dxa"/>
            <w:gridSpan w:val="3"/>
            <w:noWrap/>
          </w:tcPr>
          <w:p w14:paraId="2192C56A" w14:textId="77777777" w:rsidR="0098545A" w:rsidRPr="00E04AF6" w:rsidRDefault="0098545A" w:rsidP="002B7863">
            <w:pPr>
              <w:pStyle w:val="Tabelid"/>
              <w:jc w:val="right"/>
              <w:cnfStyle w:val="100000000000" w:firstRow="1" w:lastRow="0" w:firstColumn="0" w:lastColumn="0" w:oddVBand="0" w:evenVBand="0" w:oddHBand="0" w:evenHBand="0" w:firstRowFirstColumn="0" w:firstRowLastColumn="0" w:lastRowFirstColumn="0" w:lastRowLastColumn="0"/>
            </w:pPr>
            <w:r w:rsidRPr="00E04AF6">
              <w:t>Erinevus baasprognoosist</w:t>
            </w:r>
          </w:p>
        </w:tc>
      </w:tr>
      <w:tr w:rsidR="0098545A" w:rsidRPr="00E04AF6" w14:paraId="322A31C1" w14:textId="77777777" w:rsidTr="002B7863">
        <w:trPr>
          <w:gridBefore w:val="1"/>
          <w:cnfStyle w:val="000000100000" w:firstRow="0" w:lastRow="0" w:firstColumn="0" w:lastColumn="0" w:oddVBand="0" w:evenVBand="0" w:oddHBand="1" w:evenHBand="0" w:firstRowFirstColumn="0" w:firstRowLastColumn="0" w:lastRowFirstColumn="0" w:lastRowLastColumn="0"/>
          <w:wBefore w:w="47" w:type="dxa"/>
          <w:trHeight w:val="266"/>
        </w:trPr>
        <w:tc>
          <w:tcPr>
            <w:cnfStyle w:val="001000000000" w:firstRow="0" w:lastRow="0" w:firstColumn="1" w:lastColumn="0" w:oddVBand="0" w:evenVBand="0" w:oddHBand="0" w:evenHBand="0" w:firstRowFirstColumn="0" w:firstRowLastColumn="0" w:lastRowFirstColumn="0" w:lastRowLastColumn="0"/>
            <w:tcW w:w="4813" w:type="dxa"/>
            <w:tcBorders>
              <w:right w:val="single" w:sz="12" w:space="0" w:color="auto"/>
            </w:tcBorders>
          </w:tcPr>
          <w:p w14:paraId="6A59C9ED" w14:textId="77777777" w:rsidR="0098545A" w:rsidRPr="00E04AF6" w:rsidRDefault="0098545A" w:rsidP="002B7863">
            <w:pPr>
              <w:pStyle w:val="Tabelid"/>
            </w:pPr>
          </w:p>
        </w:tc>
        <w:tc>
          <w:tcPr>
            <w:tcW w:w="802" w:type="dxa"/>
            <w:tcBorders>
              <w:left w:val="single" w:sz="12" w:space="0" w:color="auto"/>
            </w:tcBorders>
            <w:noWrap/>
            <w:vAlign w:val="center"/>
          </w:tcPr>
          <w:p w14:paraId="11A4724D" w14:textId="77777777" w:rsidR="0098545A" w:rsidRPr="00E04AF6" w:rsidRDefault="0098545A" w:rsidP="002B7863">
            <w:pPr>
              <w:pStyle w:val="Tabelid"/>
              <w:jc w:val="right"/>
              <w:cnfStyle w:val="000000100000" w:firstRow="0" w:lastRow="0" w:firstColumn="0" w:lastColumn="0" w:oddVBand="0" w:evenVBand="0" w:oddHBand="1" w:evenHBand="0" w:firstRowFirstColumn="0" w:firstRowLastColumn="0" w:lastRowFirstColumn="0" w:lastRowLastColumn="0"/>
            </w:pPr>
            <w:r w:rsidRPr="00E04AF6">
              <w:rPr>
                <w:rFonts w:cs="Calibri"/>
                <w:color w:val="000000"/>
                <w:szCs w:val="20"/>
              </w:rPr>
              <w:t>2023</w:t>
            </w:r>
          </w:p>
        </w:tc>
        <w:tc>
          <w:tcPr>
            <w:tcW w:w="802" w:type="dxa"/>
            <w:noWrap/>
            <w:vAlign w:val="center"/>
          </w:tcPr>
          <w:p w14:paraId="6CC1A858" w14:textId="77777777" w:rsidR="0098545A" w:rsidRPr="00E04AF6" w:rsidRDefault="0098545A" w:rsidP="002B7863">
            <w:pPr>
              <w:pStyle w:val="Tabelid"/>
              <w:jc w:val="right"/>
              <w:cnfStyle w:val="000000100000" w:firstRow="0" w:lastRow="0" w:firstColumn="0" w:lastColumn="0" w:oddVBand="0" w:evenVBand="0" w:oddHBand="1" w:evenHBand="0" w:firstRowFirstColumn="0" w:firstRowLastColumn="0" w:lastRowFirstColumn="0" w:lastRowLastColumn="0"/>
            </w:pPr>
            <w:r w:rsidRPr="00E04AF6">
              <w:rPr>
                <w:rFonts w:cs="Calibri"/>
                <w:color w:val="000000"/>
                <w:szCs w:val="20"/>
              </w:rPr>
              <w:t>2024</w:t>
            </w:r>
          </w:p>
        </w:tc>
        <w:tc>
          <w:tcPr>
            <w:tcW w:w="802" w:type="dxa"/>
            <w:noWrap/>
            <w:vAlign w:val="center"/>
          </w:tcPr>
          <w:p w14:paraId="5C6436E5" w14:textId="77777777" w:rsidR="0098545A" w:rsidRPr="00E04AF6" w:rsidRDefault="0098545A" w:rsidP="002B7863">
            <w:pPr>
              <w:pStyle w:val="Tabelid"/>
              <w:jc w:val="right"/>
              <w:cnfStyle w:val="000000100000" w:firstRow="0" w:lastRow="0" w:firstColumn="0" w:lastColumn="0" w:oddVBand="0" w:evenVBand="0" w:oddHBand="1" w:evenHBand="0" w:firstRowFirstColumn="0" w:firstRowLastColumn="0" w:lastRowFirstColumn="0" w:lastRowLastColumn="0"/>
            </w:pPr>
            <w:r w:rsidRPr="00E04AF6">
              <w:rPr>
                <w:rFonts w:cs="Calibri"/>
                <w:color w:val="000000"/>
                <w:szCs w:val="20"/>
              </w:rPr>
              <w:t>2025</w:t>
            </w:r>
          </w:p>
        </w:tc>
        <w:tc>
          <w:tcPr>
            <w:tcW w:w="802" w:type="dxa"/>
            <w:noWrap/>
            <w:vAlign w:val="center"/>
          </w:tcPr>
          <w:p w14:paraId="0B9AE402" w14:textId="77777777" w:rsidR="0098545A" w:rsidRPr="00E04AF6" w:rsidRDefault="0098545A" w:rsidP="002B7863">
            <w:pPr>
              <w:pStyle w:val="Tabelid"/>
              <w:jc w:val="right"/>
              <w:cnfStyle w:val="000000100000" w:firstRow="0" w:lastRow="0" w:firstColumn="0" w:lastColumn="0" w:oddVBand="0" w:evenVBand="0" w:oddHBand="1" w:evenHBand="0" w:firstRowFirstColumn="0" w:firstRowLastColumn="0" w:lastRowFirstColumn="0" w:lastRowLastColumn="0"/>
            </w:pPr>
            <w:r w:rsidRPr="00E04AF6">
              <w:rPr>
                <w:rFonts w:cs="Calibri"/>
                <w:color w:val="000000"/>
                <w:szCs w:val="20"/>
              </w:rPr>
              <w:t>2023</w:t>
            </w:r>
          </w:p>
        </w:tc>
        <w:tc>
          <w:tcPr>
            <w:tcW w:w="802" w:type="dxa"/>
            <w:noWrap/>
            <w:vAlign w:val="center"/>
          </w:tcPr>
          <w:p w14:paraId="5029DB05" w14:textId="77777777" w:rsidR="0098545A" w:rsidRPr="00E04AF6" w:rsidRDefault="0098545A" w:rsidP="002B7863">
            <w:pPr>
              <w:pStyle w:val="Tabelid"/>
              <w:jc w:val="right"/>
              <w:cnfStyle w:val="000000100000" w:firstRow="0" w:lastRow="0" w:firstColumn="0" w:lastColumn="0" w:oddVBand="0" w:evenVBand="0" w:oddHBand="1" w:evenHBand="0" w:firstRowFirstColumn="0" w:firstRowLastColumn="0" w:lastRowFirstColumn="0" w:lastRowLastColumn="0"/>
            </w:pPr>
            <w:r w:rsidRPr="00E04AF6">
              <w:rPr>
                <w:rFonts w:cs="Calibri"/>
                <w:color w:val="000000"/>
                <w:szCs w:val="20"/>
              </w:rPr>
              <w:t>2024</w:t>
            </w:r>
          </w:p>
        </w:tc>
        <w:tc>
          <w:tcPr>
            <w:tcW w:w="802" w:type="dxa"/>
            <w:shd w:val="clear" w:color="auto" w:fill="D9D9D9" w:themeFill="background1" w:themeFillShade="D9"/>
            <w:vAlign w:val="center"/>
          </w:tcPr>
          <w:p w14:paraId="70C434CB" w14:textId="77777777" w:rsidR="0098545A" w:rsidRPr="00E04AF6" w:rsidRDefault="0098545A" w:rsidP="002B7863">
            <w:pPr>
              <w:pStyle w:val="Tabelid"/>
              <w:jc w:val="right"/>
              <w:cnfStyle w:val="000000100000" w:firstRow="0" w:lastRow="0" w:firstColumn="0" w:lastColumn="0" w:oddVBand="0" w:evenVBand="0" w:oddHBand="1" w:evenHBand="0" w:firstRowFirstColumn="0" w:firstRowLastColumn="0" w:lastRowFirstColumn="0" w:lastRowLastColumn="0"/>
            </w:pPr>
            <w:r w:rsidRPr="00E04AF6">
              <w:rPr>
                <w:rFonts w:cs="Calibri"/>
                <w:color w:val="000000"/>
                <w:szCs w:val="20"/>
              </w:rPr>
              <w:t>2025</w:t>
            </w:r>
          </w:p>
        </w:tc>
      </w:tr>
      <w:tr w:rsidR="00720ABF" w:rsidRPr="00E04AF6" w14:paraId="7AA29D7B" w14:textId="77777777" w:rsidTr="002B7863">
        <w:trPr>
          <w:gridBefore w:val="1"/>
          <w:wBefore w:w="47" w:type="dxa"/>
          <w:trHeight w:val="266"/>
        </w:trPr>
        <w:tc>
          <w:tcPr>
            <w:cnfStyle w:val="001000000000" w:firstRow="0" w:lastRow="0" w:firstColumn="1" w:lastColumn="0" w:oddVBand="0" w:evenVBand="0" w:oddHBand="0" w:evenHBand="0" w:firstRowFirstColumn="0" w:firstRowLastColumn="0" w:lastRowFirstColumn="0" w:lastRowLastColumn="0"/>
            <w:tcW w:w="4813" w:type="dxa"/>
            <w:hideMark/>
          </w:tcPr>
          <w:p w14:paraId="17C38312" w14:textId="77777777" w:rsidR="00720ABF" w:rsidRPr="00E04AF6" w:rsidRDefault="00720ABF" w:rsidP="00720ABF">
            <w:pPr>
              <w:pStyle w:val="Tabelid"/>
            </w:pPr>
            <w:r w:rsidRPr="00E04AF6">
              <w:t>Valitsussektori eelarve</w:t>
            </w:r>
            <w:r w:rsidRPr="00E04AF6">
              <w:softHyphen/>
              <w:t>positsioon (mln eurot)</w:t>
            </w:r>
          </w:p>
        </w:tc>
        <w:tc>
          <w:tcPr>
            <w:tcW w:w="802" w:type="dxa"/>
            <w:noWrap/>
            <w:vAlign w:val="center"/>
            <w:hideMark/>
          </w:tcPr>
          <w:p w14:paraId="428807BB" w14:textId="77777777" w:rsidR="00720ABF" w:rsidRPr="00E04AF6" w:rsidRDefault="00720ABF" w:rsidP="00720ABF">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-1 380</w:t>
            </w:r>
          </w:p>
        </w:tc>
        <w:tc>
          <w:tcPr>
            <w:tcW w:w="802" w:type="dxa"/>
            <w:noWrap/>
            <w:vAlign w:val="center"/>
            <w:hideMark/>
          </w:tcPr>
          <w:p w14:paraId="779D61A1" w14:textId="77777777" w:rsidR="00720ABF" w:rsidRPr="006D74DD" w:rsidRDefault="00720ABF" w:rsidP="00720ABF">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6D74DD">
              <w:rPr>
                <w:rFonts w:cs="Calibri"/>
                <w:b/>
                <w:bCs/>
                <w:color w:val="000000"/>
                <w:szCs w:val="20"/>
              </w:rPr>
              <w:t>-1 479</w:t>
            </w:r>
          </w:p>
        </w:tc>
        <w:tc>
          <w:tcPr>
            <w:tcW w:w="802" w:type="dxa"/>
            <w:noWrap/>
            <w:vAlign w:val="center"/>
            <w:hideMark/>
          </w:tcPr>
          <w:p w14:paraId="6BB74F60" w14:textId="63D89196" w:rsidR="00720ABF" w:rsidRPr="006D74DD" w:rsidRDefault="00720ABF" w:rsidP="00720ABF">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6D74DD">
              <w:rPr>
                <w:rFonts w:cs="Calibri"/>
                <w:b/>
                <w:bCs/>
                <w:color w:val="000000"/>
                <w:szCs w:val="20"/>
              </w:rPr>
              <w:t>-2 086</w:t>
            </w:r>
          </w:p>
        </w:tc>
        <w:tc>
          <w:tcPr>
            <w:tcW w:w="802" w:type="dxa"/>
            <w:noWrap/>
            <w:vAlign w:val="center"/>
            <w:hideMark/>
          </w:tcPr>
          <w:p w14:paraId="726D19AC" w14:textId="5D0FE97B" w:rsidR="00720ABF" w:rsidRPr="00E04AF6" w:rsidRDefault="00720ABF" w:rsidP="00720ABF">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-104</w:t>
            </w:r>
          </w:p>
        </w:tc>
        <w:tc>
          <w:tcPr>
            <w:tcW w:w="802" w:type="dxa"/>
            <w:noWrap/>
            <w:vAlign w:val="center"/>
          </w:tcPr>
          <w:p w14:paraId="5E7EC8CE" w14:textId="422C99CA" w:rsidR="00720ABF" w:rsidRPr="00E04AF6" w:rsidRDefault="00720ABF" w:rsidP="00720ABF">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-276</w:t>
            </w:r>
          </w:p>
        </w:tc>
        <w:tc>
          <w:tcPr>
            <w:tcW w:w="802" w:type="dxa"/>
            <w:noWrap/>
            <w:vAlign w:val="center"/>
          </w:tcPr>
          <w:p w14:paraId="40EA6146" w14:textId="6B7207EF" w:rsidR="00720ABF" w:rsidRPr="00E04AF6" w:rsidRDefault="00720ABF" w:rsidP="00720ABF">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-289</w:t>
            </w:r>
          </w:p>
        </w:tc>
      </w:tr>
      <w:tr w:rsidR="00720ABF" w:rsidRPr="00E04AF6" w14:paraId="5218651B" w14:textId="77777777" w:rsidTr="002B7863">
        <w:trPr>
          <w:gridBefore w:val="1"/>
          <w:cnfStyle w:val="000000100000" w:firstRow="0" w:lastRow="0" w:firstColumn="0" w:lastColumn="0" w:oddVBand="0" w:evenVBand="0" w:oddHBand="1" w:evenHBand="0" w:firstRowFirstColumn="0" w:firstRowLastColumn="0" w:lastRowFirstColumn="0" w:lastRowLastColumn="0"/>
          <w:wBefore w:w="47" w:type="dxa"/>
          <w:trHeight w:val="230"/>
        </w:trPr>
        <w:tc>
          <w:tcPr>
            <w:cnfStyle w:val="001000000000" w:firstRow="0" w:lastRow="0" w:firstColumn="1" w:lastColumn="0" w:oddVBand="0" w:evenVBand="0" w:oddHBand="0" w:evenHBand="0" w:firstRowFirstColumn="0" w:firstRowLastColumn="0" w:lastRowFirstColumn="0" w:lastRowLastColumn="0"/>
            <w:tcW w:w="4813" w:type="dxa"/>
            <w:noWrap/>
            <w:hideMark/>
          </w:tcPr>
          <w:p w14:paraId="4B807CD5" w14:textId="77777777" w:rsidR="00720ABF" w:rsidRPr="00E04AF6" w:rsidRDefault="00720ABF" w:rsidP="00720ABF">
            <w:pPr>
              <w:pStyle w:val="Tabelid"/>
              <w:rPr>
                <w:b w:val="0"/>
              </w:rPr>
            </w:pPr>
            <w:r w:rsidRPr="00E04AF6">
              <w:rPr>
                <w:b w:val="0"/>
              </w:rPr>
              <w:t>Keskvalitsus</w:t>
            </w:r>
          </w:p>
        </w:tc>
        <w:tc>
          <w:tcPr>
            <w:tcW w:w="802" w:type="dxa"/>
            <w:noWrap/>
            <w:vAlign w:val="center"/>
            <w:hideMark/>
          </w:tcPr>
          <w:p w14:paraId="1B41C8AE" w14:textId="77777777" w:rsidR="00720ABF" w:rsidRPr="00E04AF6" w:rsidRDefault="00720ABF" w:rsidP="00720ABF">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-1 320</w:t>
            </w:r>
          </w:p>
        </w:tc>
        <w:tc>
          <w:tcPr>
            <w:tcW w:w="802" w:type="dxa"/>
            <w:noWrap/>
            <w:vAlign w:val="center"/>
            <w:hideMark/>
          </w:tcPr>
          <w:p w14:paraId="45BC71C2" w14:textId="77777777" w:rsidR="00720ABF" w:rsidRPr="006D74DD" w:rsidRDefault="00720ABF" w:rsidP="00720ABF">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D74DD">
              <w:rPr>
                <w:rFonts w:cs="Calibri"/>
                <w:color w:val="000000"/>
                <w:szCs w:val="20"/>
              </w:rPr>
              <w:t>-1 241</w:t>
            </w:r>
          </w:p>
        </w:tc>
        <w:tc>
          <w:tcPr>
            <w:tcW w:w="802" w:type="dxa"/>
            <w:noWrap/>
            <w:vAlign w:val="center"/>
            <w:hideMark/>
          </w:tcPr>
          <w:p w14:paraId="6965024E" w14:textId="2C754BF1" w:rsidR="00720ABF" w:rsidRPr="006D74DD" w:rsidRDefault="00720ABF" w:rsidP="00720ABF">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D74DD">
              <w:rPr>
                <w:rFonts w:cs="Calibri"/>
                <w:color w:val="000000"/>
                <w:szCs w:val="20"/>
              </w:rPr>
              <w:t>-1 712</w:t>
            </w:r>
          </w:p>
        </w:tc>
        <w:tc>
          <w:tcPr>
            <w:tcW w:w="802" w:type="dxa"/>
            <w:noWrap/>
            <w:vAlign w:val="center"/>
          </w:tcPr>
          <w:p w14:paraId="63165A94" w14:textId="60AAE305" w:rsidR="00720ABF" w:rsidRPr="00E04AF6" w:rsidRDefault="00720ABF" w:rsidP="00720ABF">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-73</w:t>
            </w:r>
          </w:p>
        </w:tc>
        <w:tc>
          <w:tcPr>
            <w:tcW w:w="802" w:type="dxa"/>
            <w:noWrap/>
            <w:vAlign w:val="center"/>
          </w:tcPr>
          <w:p w14:paraId="6B9DBD59" w14:textId="6521BA11" w:rsidR="00720ABF" w:rsidRPr="00E04AF6" w:rsidRDefault="00720ABF" w:rsidP="00720ABF">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-157</w:t>
            </w:r>
          </w:p>
        </w:tc>
        <w:tc>
          <w:tcPr>
            <w:tcW w:w="802" w:type="dxa"/>
            <w:noWrap/>
            <w:vAlign w:val="center"/>
          </w:tcPr>
          <w:p w14:paraId="1D75FA84" w14:textId="4E205168" w:rsidR="00720ABF" w:rsidRPr="00E04AF6" w:rsidRDefault="00720ABF" w:rsidP="00720ABF">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-156</w:t>
            </w:r>
          </w:p>
        </w:tc>
      </w:tr>
      <w:tr w:rsidR="00BB0DB9" w:rsidRPr="00E04AF6" w14:paraId="63DE3EEB" w14:textId="77777777" w:rsidTr="002B7863">
        <w:trPr>
          <w:gridBefore w:val="1"/>
          <w:wBefore w:w="47" w:type="dxa"/>
          <w:trHeight w:val="266"/>
        </w:trPr>
        <w:tc>
          <w:tcPr>
            <w:cnfStyle w:val="001000000000" w:firstRow="0" w:lastRow="0" w:firstColumn="1" w:lastColumn="0" w:oddVBand="0" w:evenVBand="0" w:oddHBand="0" w:evenHBand="0" w:firstRowFirstColumn="0" w:firstRowLastColumn="0" w:lastRowFirstColumn="0" w:lastRowLastColumn="0"/>
            <w:tcW w:w="4813" w:type="dxa"/>
          </w:tcPr>
          <w:p w14:paraId="0CEB9DC5" w14:textId="77777777" w:rsidR="00BB0DB9" w:rsidRPr="00E04AF6" w:rsidRDefault="00BB0DB9" w:rsidP="00BB0DB9">
            <w:pPr>
              <w:pStyle w:val="Tabelid"/>
              <w:rPr>
                <w:b w:val="0"/>
              </w:rPr>
            </w:pPr>
            <w:r w:rsidRPr="00E04AF6">
              <w:rPr>
                <w:b w:val="0"/>
              </w:rPr>
              <w:t>Sotsiaalkindlustusfondid</w:t>
            </w:r>
          </w:p>
        </w:tc>
        <w:tc>
          <w:tcPr>
            <w:tcW w:w="802" w:type="dxa"/>
            <w:noWrap/>
            <w:vAlign w:val="center"/>
          </w:tcPr>
          <w:p w14:paraId="461043B1" w14:textId="77777777"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78</w:t>
            </w:r>
          </w:p>
        </w:tc>
        <w:tc>
          <w:tcPr>
            <w:tcW w:w="802" w:type="dxa"/>
            <w:noWrap/>
            <w:vAlign w:val="center"/>
          </w:tcPr>
          <w:p w14:paraId="7901AED2" w14:textId="77777777" w:rsidR="00BB0DB9" w:rsidRPr="006D74DD"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D74DD">
              <w:rPr>
                <w:rFonts w:cs="Calibri"/>
                <w:color w:val="000000"/>
                <w:szCs w:val="20"/>
              </w:rPr>
              <w:t>-59</w:t>
            </w:r>
          </w:p>
        </w:tc>
        <w:tc>
          <w:tcPr>
            <w:tcW w:w="802" w:type="dxa"/>
            <w:noWrap/>
            <w:vAlign w:val="center"/>
          </w:tcPr>
          <w:p w14:paraId="509CA01B" w14:textId="50AF1F75" w:rsidR="00BB0DB9" w:rsidRPr="006D74DD"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D74DD">
              <w:rPr>
                <w:rFonts w:cs="Calibri"/>
                <w:color w:val="000000"/>
                <w:szCs w:val="20"/>
              </w:rPr>
              <w:t>-183</w:t>
            </w:r>
          </w:p>
        </w:tc>
        <w:tc>
          <w:tcPr>
            <w:tcW w:w="802" w:type="dxa"/>
            <w:noWrap/>
            <w:vAlign w:val="center"/>
          </w:tcPr>
          <w:p w14:paraId="23B7025A" w14:textId="3C654EE4"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-18</w:t>
            </w:r>
          </w:p>
        </w:tc>
        <w:tc>
          <w:tcPr>
            <w:tcW w:w="802" w:type="dxa"/>
            <w:noWrap/>
            <w:vAlign w:val="center"/>
          </w:tcPr>
          <w:p w14:paraId="3EE208AB" w14:textId="5D384C33"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-75</w:t>
            </w:r>
          </w:p>
        </w:tc>
        <w:tc>
          <w:tcPr>
            <w:tcW w:w="802" w:type="dxa"/>
            <w:noWrap/>
            <w:vAlign w:val="center"/>
          </w:tcPr>
          <w:p w14:paraId="00735706" w14:textId="71653BC2"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-77</w:t>
            </w:r>
          </w:p>
        </w:tc>
      </w:tr>
      <w:tr w:rsidR="00BB0DB9" w:rsidRPr="00E04AF6" w14:paraId="7C09C437" w14:textId="77777777" w:rsidTr="002B7863">
        <w:trPr>
          <w:gridBefore w:val="1"/>
          <w:cnfStyle w:val="000000100000" w:firstRow="0" w:lastRow="0" w:firstColumn="0" w:lastColumn="0" w:oddVBand="0" w:evenVBand="0" w:oddHBand="1" w:evenHBand="0" w:firstRowFirstColumn="0" w:firstRowLastColumn="0" w:lastRowFirstColumn="0" w:lastRowLastColumn="0"/>
          <w:wBefore w:w="47" w:type="dxa"/>
          <w:trHeight w:val="266"/>
        </w:trPr>
        <w:tc>
          <w:tcPr>
            <w:cnfStyle w:val="001000000000" w:firstRow="0" w:lastRow="0" w:firstColumn="1" w:lastColumn="0" w:oddVBand="0" w:evenVBand="0" w:oddHBand="0" w:evenHBand="0" w:firstRowFirstColumn="0" w:firstRowLastColumn="0" w:lastRowFirstColumn="0" w:lastRowLastColumn="0"/>
            <w:tcW w:w="4813" w:type="dxa"/>
            <w:noWrap/>
            <w:hideMark/>
          </w:tcPr>
          <w:p w14:paraId="6020B0FC" w14:textId="77777777" w:rsidR="00BB0DB9" w:rsidRPr="00E04AF6" w:rsidRDefault="00BB0DB9" w:rsidP="00BB0DB9">
            <w:pPr>
              <w:pStyle w:val="Tabelid"/>
              <w:rPr>
                <w:b w:val="0"/>
              </w:rPr>
            </w:pPr>
            <w:r w:rsidRPr="00E04AF6">
              <w:rPr>
                <w:b w:val="0"/>
              </w:rPr>
              <w:t>Kohalikud omavalitsused</w:t>
            </w:r>
          </w:p>
        </w:tc>
        <w:tc>
          <w:tcPr>
            <w:tcW w:w="802" w:type="dxa"/>
            <w:noWrap/>
            <w:vAlign w:val="center"/>
            <w:hideMark/>
          </w:tcPr>
          <w:p w14:paraId="6132A343" w14:textId="77777777"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-137</w:t>
            </w:r>
          </w:p>
        </w:tc>
        <w:tc>
          <w:tcPr>
            <w:tcW w:w="802" w:type="dxa"/>
            <w:noWrap/>
            <w:vAlign w:val="center"/>
            <w:hideMark/>
          </w:tcPr>
          <w:p w14:paraId="6EAE3ADF" w14:textId="77777777"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-179</w:t>
            </w:r>
          </w:p>
        </w:tc>
        <w:tc>
          <w:tcPr>
            <w:tcW w:w="802" w:type="dxa"/>
            <w:noWrap/>
            <w:vAlign w:val="center"/>
            <w:hideMark/>
          </w:tcPr>
          <w:p w14:paraId="2D156EAE" w14:textId="7FD87C8A"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-191</w:t>
            </w:r>
          </w:p>
        </w:tc>
        <w:tc>
          <w:tcPr>
            <w:tcW w:w="802" w:type="dxa"/>
            <w:noWrap/>
            <w:vAlign w:val="center"/>
          </w:tcPr>
          <w:p w14:paraId="2A43D1D1" w14:textId="30D44E5D"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-13</w:t>
            </w:r>
          </w:p>
        </w:tc>
        <w:tc>
          <w:tcPr>
            <w:tcW w:w="802" w:type="dxa"/>
            <w:noWrap/>
            <w:vAlign w:val="center"/>
          </w:tcPr>
          <w:p w14:paraId="06D51925" w14:textId="3308B9CA"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-44</w:t>
            </w:r>
          </w:p>
        </w:tc>
        <w:tc>
          <w:tcPr>
            <w:tcW w:w="802" w:type="dxa"/>
            <w:noWrap/>
            <w:vAlign w:val="center"/>
          </w:tcPr>
          <w:p w14:paraId="3832483B" w14:textId="6A77387D"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-55</w:t>
            </w:r>
          </w:p>
        </w:tc>
      </w:tr>
      <w:tr w:rsidR="00BB0DB9" w:rsidRPr="00E04AF6" w14:paraId="0004DC4A" w14:textId="77777777" w:rsidTr="002B7863">
        <w:trPr>
          <w:gridBefore w:val="1"/>
          <w:wBefore w:w="47" w:type="dxa"/>
          <w:trHeight w:val="266"/>
        </w:trPr>
        <w:tc>
          <w:tcPr>
            <w:cnfStyle w:val="001000000000" w:firstRow="0" w:lastRow="0" w:firstColumn="1" w:lastColumn="0" w:oddVBand="0" w:evenVBand="0" w:oddHBand="0" w:evenHBand="0" w:firstRowFirstColumn="0" w:firstRowLastColumn="0" w:lastRowFirstColumn="0" w:lastRowLastColumn="0"/>
            <w:tcW w:w="4813" w:type="dxa"/>
          </w:tcPr>
          <w:p w14:paraId="1DB96872" w14:textId="77777777" w:rsidR="00BB0DB9" w:rsidRPr="00E04AF6" w:rsidRDefault="00BB0DB9" w:rsidP="00BB0DB9">
            <w:pPr>
              <w:pStyle w:val="Tabelid"/>
            </w:pPr>
            <w:r w:rsidRPr="00E04AF6">
              <w:t>Valitsussektori eelarve</w:t>
            </w:r>
            <w:r w:rsidRPr="00E04AF6">
              <w:softHyphen/>
              <w:t>positsioon (% SKPst)</w:t>
            </w:r>
          </w:p>
        </w:tc>
        <w:tc>
          <w:tcPr>
            <w:tcW w:w="802" w:type="dxa"/>
            <w:noWrap/>
            <w:vAlign w:val="center"/>
          </w:tcPr>
          <w:p w14:paraId="6CE897A2" w14:textId="77777777"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-3,6</w:t>
            </w:r>
          </w:p>
        </w:tc>
        <w:tc>
          <w:tcPr>
            <w:tcW w:w="802" w:type="dxa"/>
            <w:noWrap/>
            <w:vAlign w:val="center"/>
          </w:tcPr>
          <w:p w14:paraId="320E00DD" w14:textId="77777777"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-3,6</w:t>
            </w:r>
          </w:p>
        </w:tc>
        <w:tc>
          <w:tcPr>
            <w:tcW w:w="802" w:type="dxa"/>
            <w:noWrap/>
            <w:vAlign w:val="center"/>
          </w:tcPr>
          <w:p w14:paraId="5E43DE0C" w14:textId="0C2464F5"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-4,9</w:t>
            </w:r>
          </w:p>
        </w:tc>
        <w:tc>
          <w:tcPr>
            <w:tcW w:w="802" w:type="dxa"/>
            <w:noWrap/>
            <w:vAlign w:val="center"/>
          </w:tcPr>
          <w:p w14:paraId="6CAA624D" w14:textId="53CDCB03"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-0,3</w:t>
            </w:r>
          </w:p>
        </w:tc>
        <w:tc>
          <w:tcPr>
            <w:tcW w:w="802" w:type="dxa"/>
            <w:noWrap/>
            <w:vAlign w:val="center"/>
          </w:tcPr>
          <w:p w14:paraId="5F8A0C0C" w14:textId="17F18472"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-0,7</w:t>
            </w:r>
          </w:p>
        </w:tc>
        <w:tc>
          <w:tcPr>
            <w:tcW w:w="802" w:type="dxa"/>
            <w:noWrap/>
            <w:vAlign w:val="center"/>
          </w:tcPr>
          <w:p w14:paraId="4DFD0DBD" w14:textId="7BECD8A5"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b/>
                <w:bCs/>
                <w:color w:val="000000"/>
                <w:szCs w:val="20"/>
              </w:rPr>
            </w:pPr>
            <w:r w:rsidRPr="00E04AF6">
              <w:rPr>
                <w:rFonts w:cs="Calibri"/>
                <w:b/>
                <w:bCs/>
                <w:color w:val="000000"/>
                <w:szCs w:val="20"/>
              </w:rPr>
              <w:t>-0,7</w:t>
            </w:r>
          </w:p>
        </w:tc>
      </w:tr>
      <w:tr w:rsidR="00BB0DB9" w:rsidRPr="00E04AF6" w14:paraId="79870A7B" w14:textId="77777777" w:rsidTr="002B7863">
        <w:trPr>
          <w:gridBefore w:val="1"/>
          <w:cnfStyle w:val="000000100000" w:firstRow="0" w:lastRow="0" w:firstColumn="0" w:lastColumn="0" w:oddVBand="0" w:evenVBand="0" w:oddHBand="1" w:evenHBand="0" w:firstRowFirstColumn="0" w:firstRowLastColumn="0" w:lastRowFirstColumn="0" w:lastRowLastColumn="0"/>
          <w:wBefore w:w="47" w:type="dxa"/>
          <w:trHeight w:val="217"/>
        </w:trPr>
        <w:tc>
          <w:tcPr>
            <w:cnfStyle w:val="001000000000" w:firstRow="0" w:lastRow="0" w:firstColumn="1" w:lastColumn="0" w:oddVBand="0" w:evenVBand="0" w:oddHBand="0" w:evenHBand="0" w:firstRowFirstColumn="0" w:firstRowLastColumn="0" w:lastRowFirstColumn="0" w:lastRowLastColumn="0"/>
            <w:tcW w:w="4813" w:type="dxa"/>
            <w:noWrap/>
            <w:hideMark/>
          </w:tcPr>
          <w:p w14:paraId="5583A114" w14:textId="77777777" w:rsidR="00BB0DB9" w:rsidRPr="00E04AF6" w:rsidRDefault="00BB0DB9" w:rsidP="00BB0DB9">
            <w:pPr>
              <w:pStyle w:val="Tabelid"/>
              <w:rPr>
                <w:b w:val="0"/>
              </w:rPr>
            </w:pPr>
            <w:r w:rsidRPr="00E04AF6">
              <w:rPr>
                <w:b w:val="0"/>
              </w:rPr>
              <w:t>Keskvalitsus</w:t>
            </w:r>
          </w:p>
        </w:tc>
        <w:tc>
          <w:tcPr>
            <w:tcW w:w="802" w:type="dxa"/>
            <w:noWrap/>
            <w:vAlign w:val="center"/>
          </w:tcPr>
          <w:p w14:paraId="35C75DD3" w14:textId="77777777"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-3,4</w:t>
            </w:r>
          </w:p>
        </w:tc>
        <w:tc>
          <w:tcPr>
            <w:tcW w:w="802" w:type="dxa"/>
            <w:noWrap/>
            <w:vAlign w:val="center"/>
          </w:tcPr>
          <w:p w14:paraId="3C673C06" w14:textId="77777777"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-3,1</w:t>
            </w:r>
          </w:p>
        </w:tc>
        <w:tc>
          <w:tcPr>
            <w:tcW w:w="802" w:type="dxa"/>
            <w:noWrap/>
            <w:vAlign w:val="center"/>
          </w:tcPr>
          <w:p w14:paraId="5F7679E2" w14:textId="6334F726"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-4,0</w:t>
            </w:r>
          </w:p>
        </w:tc>
        <w:tc>
          <w:tcPr>
            <w:tcW w:w="802" w:type="dxa"/>
            <w:noWrap/>
            <w:vAlign w:val="center"/>
          </w:tcPr>
          <w:p w14:paraId="5F2ECCC9" w14:textId="7E57615A"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-0,2</w:t>
            </w:r>
          </w:p>
        </w:tc>
        <w:tc>
          <w:tcPr>
            <w:tcW w:w="802" w:type="dxa"/>
            <w:noWrap/>
            <w:vAlign w:val="center"/>
          </w:tcPr>
          <w:p w14:paraId="21731443" w14:textId="77ECE41A"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-0,4</w:t>
            </w:r>
          </w:p>
        </w:tc>
        <w:tc>
          <w:tcPr>
            <w:tcW w:w="802" w:type="dxa"/>
            <w:noWrap/>
            <w:vAlign w:val="center"/>
          </w:tcPr>
          <w:p w14:paraId="56DD0EA1" w14:textId="19947E55"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-0,4</w:t>
            </w:r>
          </w:p>
        </w:tc>
      </w:tr>
      <w:tr w:rsidR="00BB0DB9" w:rsidRPr="00E04AF6" w14:paraId="3EABC4E5" w14:textId="77777777" w:rsidTr="002B7863">
        <w:trPr>
          <w:gridBefore w:val="1"/>
          <w:wBefore w:w="47" w:type="dxa"/>
          <w:trHeight w:val="266"/>
        </w:trPr>
        <w:tc>
          <w:tcPr>
            <w:cnfStyle w:val="001000000000" w:firstRow="0" w:lastRow="0" w:firstColumn="1" w:lastColumn="0" w:oddVBand="0" w:evenVBand="0" w:oddHBand="0" w:evenHBand="0" w:firstRowFirstColumn="0" w:firstRowLastColumn="0" w:lastRowFirstColumn="0" w:lastRowLastColumn="0"/>
            <w:tcW w:w="4813" w:type="dxa"/>
          </w:tcPr>
          <w:p w14:paraId="4CAA0246" w14:textId="77777777" w:rsidR="00BB0DB9" w:rsidRPr="00E04AF6" w:rsidRDefault="00BB0DB9" w:rsidP="00BB0DB9">
            <w:pPr>
              <w:pStyle w:val="Tabelid"/>
              <w:rPr>
                <w:b w:val="0"/>
              </w:rPr>
            </w:pPr>
            <w:r w:rsidRPr="00E04AF6">
              <w:rPr>
                <w:b w:val="0"/>
              </w:rPr>
              <w:t>Sotsiaalkindlustusfondid</w:t>
            </w:r>
          </w:p>
        </w:tc>
        <w:tc>
          <w:tcPr>
            <w:tcW w:w="802" w:type="dxa"/>
            <w:noWrap/>
            <w:vAlign w:val="center"/>
          </w:tcPr>
          <w:p w14:paraId="31261F5B" w14:textId="77777777"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0,2</w:t>
            </w:r>
          </w:p>
        </w:tc>
        <w:tc>
          <w:tcPr>
            <w:tcW w:w="802" w:type="dxa"/>
            <w:noWrap/>
            <w:vAlign w:val="center"/>
          </w:tcPr>
          <w:p w14:paraId="1E8DBD6D" w14:textId="77777777"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-0,1</w:t>
            </w:r>
          </w:p>
        </w:tc>
        <w:tc>
          <w:tcPr>
            <w:tcW w:w="802" w:type="dxa"/>
            <w:noWrap/>
            <w:vAlign w:val="center"/>
          </w:tcPr>
          <w:p w14:paraId="3EA8D07F" w14:textId="757D913B"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-0,4</w:t>
            </w:r>
          </w:p>
        </w:tc>
        <w:tc>
          <w:tcPr>
            <w:tcW w:w="802" w:type="dxa"/>
            <w:noWrap/>
            <w:vAlign w:val="center"/>
          </w:tcPr>
          <w:p w14:paraId="6D536011" w14:textId="539967D7"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0,0</w:t>
            </w:r>
          </w:p>
        </w:tc>
        <w:tc>
          <w:tcPr>
            <w:tcW w:w="802" w:type="dxa"/>
            <w:noWrap/>
            <w:vAlign w:val="center"/>
          </w:tcPr>
          <w:p w14:paraId="32995467" w14:textId="683165FB"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-0,2</w:t>
            </w:r>
          </w:p>
        </w:tc>
        <w:tc>
          <w:tcPr>
            <w:tcW w:w="802" w:type="dxa"/>
            <w:noWrap/>
            <w:vAlign w:val="center"/>
          </w:tcPr>
          <w:p w14:paraId="3F47C05F" w14:textId="1F15156F" w:rsidR="00BB0DB9" w:rsidRPr="00E04AF6" w:rsidRDefault="00BB0DB9" w:rsidP="00BB0DB9">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04AF6">
              <w:rPr>
                <w:rFonts w:cs="Calibri"/>
                <w:color w:val="000000"/>
                <w:szCs w:val="20"/>
              </w:rPr>
              <w:t>-0,2</w:t>
            </w:r>
          </w:p>
        </w:tc>
      </w:tr>
      <w:tr w:rsidR="00BB0DB9" w:rsidRPr="00E04AF6" w14:paraId="13B55C36" w14:textId="77777777" w:rsidTr="002B7863">
        <w:trPr>
          <w:gridBefore w:val="1"/>
          <w:cnfStyle w:val="000000100000" w:firstRow="0" w:lastRow="0" w:firstColumn="0" w:lastColumn="0" w:oddVBand="0" w:evenVBand="0" w:oddHBand="1" w:evenHBand="0" w:firstRowFirstColumn="0" w:firstRowLastColumn="0" w:lastRowFirstColumn="0" w:lastRowLastColumn="0"/>
          <w:wBefore w:w="47" w:type="dxa"/>
          <w:trHeight w:val="266"/>
        </w:trPr>
        <w:tc>
          <w:tcPr>
            <w:cnfStyle w:val="001000000000" w:firstRow="0" w:lastRow="0" w:firstColumn="1" w:lastColumn="0" w:oddVBand="0" w:evenVBand="0" w:oddHBand="0" w:evenHBand="0" w:firstRowFirstColumn="0" w:firstRowLastColumn="0" w:lastRowFirstColumn="0" w:lastRowLastColumn="0"/>
            <w:tcW w:w="4813" w:type="dxa"/>
            <w:noWrap/>
            <w:hideMark/>
          </w:tcPr>
          <w:p w14:paraId="5EAD4A80" w14:textId="77777777" w:rsidR="00BB0DB9" w:rsidRPr="00E04AF6" w:rsidRDefault="00BB0DB9" w:rsidP="00BB0DB9">
            <w:pPr>
              <w:pStyle w:val="Tabelid"/>
              <w:rPr>
                <w:b w:val="0"/>
              </w:rPr>
            </w:pPr>
            <w:r w:rsidRPr="00E04AF6">
              <w:rPr>
                <w:b w:val="0"/>
              </w:rPr>
              <w:t>Kohalikud omavalitsused</w:t>
            </w:r>
          </w:p>
        </w:tc>
        <w:tc>
          <w:tcPr>
            <w:tcW w:w="802" w:type="dxa"/>
            <w:noWrap/>
            <w:vAlign w:val="center"/>
          </w:tcPr>
          <w:p w14:paraId="390FEB04" w14:textId="77777777"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-0,4</w:t>
            </w:r>
          </w:p>
        </w:tc>
        <w:tc>
          <w:tcPr>
            <w:tcW w:w="802" w:type="dxa"/>
            <w:noWrap/>
            <w:vAlign w:val="center"/>
          </w:tcPr>
          <w:p w14:paraId="32B7BC1D" w14:textId="77777777"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-0,4</w:t>
            </w:r>
          </w:p>
        </w:tc>
        <w:tc>
          <w:tcPr>
            <w:tcW w:w="802" w:type="dxa"/>
            <w:noWrap/>
            <w:vAlign w:val="center"/>
          </w:tcPr>
          <w:p w14:paraId="4DB87F33" w14:textId="76D57639"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-0,4</w:t>
            </w:r>
          </w:p>
        </w:tc>
        <w:tc>
          <w:tcPr>
            <w:tcW w:w="802" w:type="dxa"/>
            <w:noWrap/>
            <w:vAlign w:val="center"/>
          </w:tcPr>
          <w:p w14:paraId="39F49920" w14:textId="117923F3"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0,0</w:t>
            </w:r>
          </w:p>
        </w:tc>
        <w:tc>
          <w:tcPr>
            <w:tcW w:w="802" w:type="dxa"/>
            <w:noWrap/>
            <w:vAlign w:val="center"/>
          </w:tcPr>
          <w:p w14:paraId="77A3330B" w14:textId="0C762871"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-0,1</w:t>
            </w:r>
          </w:p>
        </w:tc>
        <w:tc>
          <w:tcPr>
            <w:tcW w:w="802" w:type="dxa"/>
            <w:noWrap/>
            <w:vAlign w:val="center"/>
          </w:tcPr>
          <w:p w14:paraId="4AEA25B5" w14:textId="36E252DB" w:rsidR="00BB0DB9" w:rsidRPr="00E04AF6" w:rsidRDefault="00BB0DB9" w:rsidP="00BB0DB9">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E04AF6">
              <w:rPr>
                <w:rFonts w:cs="Calibri"/>
                <w:color w:val="000000"/>
                <w:szCs w:val="20"/>
              </w:rPr>
              <w:t>-0,1</w:t>
            </w:r>
          </w:p>
        </w:tc>
      </w:tr>
    </w:tbl>
    <w:p w14:paraId="2F9F33B9" w14:textId="77777777" w:rsidR="0098545A" w:rsidRPr="00E04AF6" w:rsidRDefault="0098545A" w:rsidP="0098545A">
      <w:pPr>
        <w:pStyle w:val="Phitekst"/>
        <w:sectPr w:rsidR="0098545A" w:rsidRPr="00E04AF6" w:rsidSect="0093189D">
          <w:endnotePr>
            <w:numFmt w:val="decimal"/>
          </w:endnotePr>
          <w:type w:val="continuous"/>
          <w:pgSz w:w="11906" w:h="16838"/>
          <w:pgMar w:top="964" w:right="964" w:bottom="964" w:left="964" w:header="709" w:footer="709" w:gutter="0"/>
          <w:cols w:space="708"/>
          <w:docGrid w:linePitch="360"/>
        </w:sectPr>
      </w:pPr>
    </w:p>
    <w:p w14:paraId="09900B37" w14:textId="77777777" w:rsidR="0098545A" w:rsidRPr="003C59A8" w:rsidRDefault="0098545A" w:rsidP="0098545A">
      <w:pPr>
        <w:pStyle w:val="Phitekst"/>
        <w:rPr>
          <w:highlight w:val="green"/>
        </w:rPr>
      </w:pPr>
      <w:r w:rsidRPr="003C59A8">
        <w:rPr>
          <w:highlight w:val="green"/>
        </w:rPr>
        <w:t xml:space="preserve"> </w:t>
      </w:r>
    </w:p>
    <w:p w14:paraId="7749CA2B" w14:textId="77777777" w:rsidR="00037170" w:rsidRPr="00414819" w:rsidRDefault="00037170" w:rsidP="006A5CB8">
      <w:pPr>
        <w:pStyle w:val="Phitekst"/>
        <w:rPr>
          <w:highlight w:val="yellow"/>
        </w:rPr>
        <w:sectPr w:rsidR="00037170" w:rsidRPr="00414819" w:rsidSect="0093189D">
          <w:endnotePr>
            <w:numFmt w:val="decimal"/>
          </w:endnotePr>
          <w:type w:val="continuous"/>
          <w:pgSz w:w="11906" w:h="16838"/>
          <w:pgMar w:top="964" w:right="964" w:bottom="964" w:left="964" w:header="709" w:footer="709" w:gutter="0"/>
          <w:cols w:space="708"/>
          <w:docGrid w:linePitch="360"/>
        </w:sectPr>
      </w:pPr>
    </w:p>
    <w:p w14:paraId="7594B533" w14:textId="498E0C96" w:rsidR="000D1B7D" w:rsidRPr="008478E8" w:rsidRDefault="000D1B7D" w:rsidP="00A17254">
      <w:pPr>
        <w:pStyle w:val="Numbritapealkiri"/>
        <w:keepNext w:val="0"/>
        <w:keepLines w:val="0"/>
        <w:spacing w:before="0"/>
      </w:pPr>
      <w:bookmarkStart w:id="209" w:name="_Toc62631862"/>
      <w:bookmarkStart w:id="210" w:name="_Toc64504584"/>
      <w:bookmarkStart w:id="211" w:name="_Ref511398980"/>
      <w:bookmarkStart w:id="212" w:name="_Ref505756332"/>
      <w:bookmarkStart w:id="213" w:name="_Ref505756181"/>
      <w:bookmarkStart w:id="214" w:name="_Toc143775512"/>
      <w:r w:rsidRPr="008478E8">
        <w:lastRenderedPageBreak/>
        <w:t xml:space="preserve">Lisa </w:t>
      </w:r>
      <w:r w:rsidR="009B4B96" w:rsidRPr="008478E8">
        <w:rPr>
          <w:noProof/>
        </w:rPr>
        <w:fldChar w:fldCharType="begin"/>
      </w:r>
      <w:r w:rsidR="009B4B96" w:rsidRPr="008478E8">
        <w:rPr>
          <w:noProof/>
        </w:rPr>
        <w:instrText xml:space="preserve"> SEQ Lisa \* ARABIC </w:instrText>
      </w:r>
      <w:r w:rsidR="009B4B96" w:rsidRPr="008478E8">
        <w:rPr>
          <w:noProof/>
        </w:rPr>
        <w:fldChar w:fldCharType="separate"/>
      </w:r>
      <w:r w:rsidR="00101BC9" w:rsidRPr="008478E8">
        <w:rPr>
          <w:noProof/>
        </w:rPr>
        <w:t>1</w:t>
      </w:r>
      <w:r w:rsidR="009B4B96" w:rsidRPr="008478E8">
        <w:rPr>
          <w:noProof/>
        </w:rPr>
        <w:fldChar w:fldCharType="end"/>
      </w:r>
      <w:r w:rsidRPr="008478E8">
        <w:t xml:space="preserve">. </w:t>
      </w:r>
      <w:r w:rsidR="00346CDF" w:rsidRPr="008478E8">
        <w:t>PROGNOOSI EELDUSED</w:t>
      </w:r>
      <w:bookmarkEnd w:id="209"/>
      <w:bookmarkEnd w:id="210"/>
      <w:bookmarkEnd w:id="214"/>
    </w:p>
    <w:p w14:paraId="72BFD4D5" w14:textId="77777777" w:rsidR="00BB669E" w:rsidRPr="008478E8" w:rsidRDefault="00BB669E" w:rsidP="00A17254">
      <w:pPr>
        <w:pStyle w:val="Phitekst"/>
        <w:sectPr w:rsidR="00BB669E" w:rsidRPr="008478E8" w:rsidSect="0093189D">
          <w:endnotePr>
            <w:numFmt w:val="decimal"/>
          </w:endnotePr>
          <w:pgSz w:w="11906" w:h="16838"/>
          <w:pgMar w:top="964" w:right="964" w:bottom="964" w:left="964" w:header="709" w:footer="709" w:gutter="0"/>
          <w:cols w:space="708"/>
          <w:docGrid w:linePitch="360"/>
        </w:sectPr>
      </w:pPr>
    </w:p>
    <w:p w14:paraId="6827AAAC" w14:textId="02D24898" w:rsidR="001D7B36" w:rsidRPr="00E04AF6" w:rsidRDefault="001D7B36" w:rsidP="001D7B36">
      <w:pPr>
        <w:pStyle w:val="Caption"/>
        <w:rPr>
          <w:rStyle w:val="Strong"/>
          <w:rFonts w:cstheme="minorBidi"/>
          <w:b/>
          <w:bCs w:val="0"/>
        </w:rPr>
      </w:pPr>
      <w:r w:rsidRPr="00E04AF6">
        <w:rPr>
          <w:rStyle w:val="Strong"/>
          <w:rFonts w:cstheme="minorBidi"/>
          <w:b/>
          <w:bCs w:val="0"/>
        </w:rPr>
        <w:t>Makromajandusprognoosi eeldused</w:t>
      </w:r>
    </w:p>
    <w:p w14:paraId="6CF407AD" w14:textId="2478DEF3" w:rsidR="0006057E" w:rsidRPr="00E04AF6" w:rsidRDefault="0006057E" w:rsidP="0006057E">
      <w:pPr>
        <w:pStyle w:val="Phitekst"/>
      </w:pPr>
      <w:r w:rsidRPr="00E04AF6">
        <w:t xml:space="preserve">Maailmamajanduses on 2023. aasta esimesel poolel olnud muutlikud ajad. Mullu majandusaktiivsust piiranud tegurid nagu tarnekatkestused on laias laastus taastunud ning globaalsed transpordikulud alanenud pandeemiaeelsele tasemele tagasi. Keskpangad on jätkanud rahapoliitika karmistamist, mille tulemusena on baasintressid kerkinud mitmel pool aastakümnete kõrgeimale tasemele. Kõrgete intressidega ja heitliku </w:t>
      </w:r>
      <w:proofErr w:type="spellStart"/>
      <w:r w:rsidRPr="00E04AF6">
        <w:t>välisnõudlusega</w:t>
      </w:r>
      <w:proofErr w:type="spellEnd"/>
      <w:r w:rsidRPr="00E04AF6">
        <w:t xml:space="preserve"> kaasnenud majandusaktiivsuse nõrgenemine on avaldunud suuremal määral euroalal, mis niigi kannatas Ukraina sõjaga kaasnenud energiakriisi käes. Inflatsioon euroalal on küll jõudsalt taandumas energiahindade langusesse pöördumise ja toidu hinnatõusu pidurdumise toel, aga alusinflatsiooni taandumine on seni olnud tagasihoidlik.</w:t>
      </w:r>
    </w:p>
    <w:p w14:paraId="68D75FEC" w14:textId="66C26524" w:rsidR="0006057E" w:rsidRPr="00E04AF6" w:rsidRDefault="0006057E" w:rsidP="0006057E">
      <w:pPr>
        <w:pStyle w:val="Phitekst"/>
      </w:pPr>
      <w:r w:rsidRPr="00E04AF6">
        <w:t>Kuigi USAs on intressimäärad kerkinud 20-aasta kõrgeimale, on tööturg püsinud suhteliselt heas seisus ning majanduskasv on jätkunud üllatavalt tugevana. Hiina avanemine COVID piirangutest aasta alguses tõi kaasa lühiajalise tõuke majandusele, aga viimastel kuudel on sealsed majandusnäitajad koos kinnisvarasektori halvenenud konjunktuuriga viidanud selgele aeglustumisele. Edasiste väljavaadete osas on maailmamajanduses riskid allapoole, mõjutatuna karmistunud rahapoliitikast, geopoliitilistest pingetest, madalast kindlustundest ja inflatsiooni võimalikust inertsusest. Arvestades eelmainitud aspekte, aeglustub maailmamajanduse kasv mulluselt 3,4%lt 2023. aastal 2,9%le, mis on ühtlasi pandeemiajärgse aja madalaim kasv.</w:t>
      </w:r>
    </w:p>
    <w:p w14:paraId="750D93D5" w14:textId="20B71AC3" w:rsidR="006B7AAB" w:rsidRPr="00E04AF6" w:rsidRDefault="0006057E" w:rsidP="0006057E">
      <w:pPr>
        <w:pStyle w:val="Phitekst"/>
      </w:pPr>
      <w:bookmarkStart w:id="215" w:name="_Hlk143529201"/>
      <w:r w:rsidRPr="00E04AF6">
        <w:t>Kõrged intressid on hakanud reaalmajandust suuremal määral mõjutama, põhjustades eelkõige arenenud tööstusriikide majanduskasvu pidurdumist. Ostujuhtide koondindeks (PMI) on euroalal viimastel kuudel languses olnud, alanedes juulis 8-kuu madalaimale tasemele (48,6 punkti). Alla 50 punkti tase viitab majandusaktiivsuse vähenemisele, mille taga on eelkõige nõrgenenud tööstussektori väljavaated. Seega varasemad ootused euroala majanduse elavnemiseks aasta teisel poolel ei pruugi realiseeruda. Euroala majanduskasv aeglustub 2022. aasta 3,5%lt 2023.</w:t>
      </w:r>
      <w:r w:rsidR="00867463">
        <w:t> </w:t>
      </w:r>
      <w:r w:rsidRPr="00E04AF6">
        <w:t xml:space="preserve">aastal 0,7%ni. Inflatsioonisurvete jätkuva taandumise ning intresside tõusutsükli läbimise toel oodatakse kasvuväljavaadete järk-järgulist </w:t>
      </w:r>
      <w:r w:rsidRPr="00E04AF6">
        <w:t>paranemist euroala majandusele 2024. aastal, mil kasv kiireneb tagasihoidliku 1,2%ni</w:t>
      </w:r>
      <w:bookmarkEnd w:id="215"/>
      <w:r w:rsidR="00CA19D4" w:rsidRPr="00E04AF6">
        <w:t>.</w:t>
      </w:r>
    </w:p>
    <w:p w14:paraId="3ABE6A61" w14:textId="05C463EC" w:rsidR="0006057E" w:rsidRPr="00E04AF6" w:rsidRDefault="0006057E" w:rsidP="0006057E">
      <w:pPr>
        <w:jc w:val="both"/>
      </w:pPr>
      <w:r w:rsidRPr="00E04AF6">
        <w:t>Mõjutatuna eelkõige energiahindade langusest, on inflatsioon euroalal aasta esimesel poolel selgel aeglustumistrendil. Aasta kokkuvõttes aeglustub inflatsioon mulluselt 8,4%lt 2023. aastal 5,5%le ja 2024. aastal 3%le.</w:t>
      </w:r>
    </w:p>
    <w:p w14:paraId="3603D8B7" w14:textId="77EC289A" w:rsidR="0006057E" w:rsidRPr="00E04AF6" w:rsidRDefault="0006057E" w:rsidP="0006057E">
      <w:pPr>
        <w:jc w:val="both"/>
      </w:pPr>
      <w:r w:rsidRPr="00E04AF6">
        <w:t>Väliskeskkond hakkas nõrgenema 2022. aasta IV kvartalis. Kõrgustesse kerkinud energiahinnad, keskpankade poolne rahapoliitika karmistamine ning sellega kaasnenud ebakindlus pärssisid kasvuväljavaateid. Maailmakaubandus pöördus langusesse ning meie oluliste eksporditurgude majanduskonjunktuur halvenes rohkem kui euroalal tervikuna. Ka 2023. aasta esimesel poolel on Rootsi, Saksamaa, Läti, Leedu majanduslangus pärssinud Eesti ettevõtete eksporti. Selle taustal on ka 2023.</w:t>
      </w:r>
      <w:r w:rsidR="00867463">
        <w:t> </w:t>
      </w:r>
      <w:r w:rsidRPr="00E04AF6">
        <w:t>aasta teise poole impordinõudluse prognoosid peamistel eksporditurgudel pessimistlikud ning kokkuvõttes võib sel aastal oodata välisnõudluse (kaubanduspartnerite kaalutud import) langust 0,6%. Kuigi osadel eksporditurgudel jääb ka 2024. aasta tagasihoidlikuks, oodatakse välisturgudel järk-järgulist elavnemist ning välisnõudlus peaks suurenema 2,2%. Selgemat elavnemist võib eksporditurgudel oodata 2025. aastal, kui välisnõudluse kasv kiireneb 3,2%ni ehk pikaajalise keskmise lähedale.</w:t>
      </w:r>
    </w:p>
    <w:p w14:paraId="4C9DB747" w14:textId="77777777" w:rsidR="0006057E" w:rsidRPr="00E04AF6" w:rsidRDefault="0006057E" w:rsidP="0006057E">
      <w:pPr>
        <w:jc w:val="both"/>
      </w:pPr>
      <w:r w:rsidRPr="00E04AF6">
        <w:t>Euro kurss USD suhtes alanes madaltasemele möödunud aasta sügisel energiakriisi haripunktis. Seejärel on euro kurss ECB poolse baasintresside hoogsa tõstmise ning mahukate energiahindade leevendusmeetmete toel taastuma hakanud ning alates kevadest stabiliseerunud EUR/USD 1,10 ümber. EUR/USD kurss fikseeriti augusti alguses tasemel 1,099 kogu prognoosiperioodiks.</w:t>
      </w:r>
    </w:p>
    <w:p w14:paraId="598CED9E" w14:textId="7EB038EA" w:rsidR="0006057E" w:rsidRPr="00E04AF6" w:rsidRDefault="002F1005" w:rsidP="0006057E">
      <w:pPr>
        <w:jc w:val="both"/>
      </w:pPr>
      <w:r w:rsidRPr="00E04AF6">
        <w:t>Globaalne i</w:t>
      </w:r>
      <w:r w:rsidR="0006057E" w:rsidRPr="00E04AF6">
        <w:t xml:space="preserve">nflatsioon osutus üle ootuste kiireks ja laiapõhjaliseks, mistõttu on riikide keskpankadel tulnud nõrgenevas majanduskeskkonnas jõuliselt intressimäärasid kergitada. Euroopa Keskpank alustas intresside tõstmisega 2022. aasta juulis. Peamine refinantseerimismäär on pärast 9 korda toimunud kergitamist augusti alguseks tõusnud 4,25%ni. 3-kuu EURIBOR on </w:t>
      </w:r>
      <w:proofErr w:type="spellStart"/>
      <w:r w:rsidR="0006057E" w:rsidRPr="00E04AF6">
        <w:t>väliseelduste</w:t>
      </w:r>
      <w:proofErr w:type="spellEnd"/>
      <w:r w:rsidR="0006057E" w:rsidRPr="00E04AF6">
        <w:t xml:space="preserve"> fikseerimise hetkeks kerkinud 3,75%ni. Finantsturgude </w:t>
      </w:r>
      <w:proofErr w:type="spellStart"/>
      <w:r w:rsidR="0006057E" w:rsidRPr="00E04AF6">
        <w:t>forward</w:t>
      </w:r>
      <w:proofErr w:type="spellEnd"/>
      <w:r w:rsidR="0006057E" w:rsidRPr="00E04AF6">
        <w:t xml:space="preserve">-tehingute kohaselt </w:t>
      </w:r>
      <w:r w:rsidR="0006057E" w:rsidRPr="00E04AF6">
        <w:lastRenderedPageBreak/>
        <w:t>saavutab 3-kuu EURIBOR kõrgtaseme 2023. aasta lõpus ning alates 2024. aasta kevadest viitavad intresside alanemisele.</w:t>
      </w:r>
    </w:p>
    <w:p w14:paraId="58379F79" w14:textId="2501EA5B" w:rsidR="001D7B36" w:rsidRPr="00E04AF6" w:rsidRDefault="0006057E" w:rsidP="0006057E">
      <w:pPr>
        <w:pStyle w:val="Phitekst"/>
      </w:pPr>
      <w:r w:rsidRPr="00E04AF6">
        <w:t>Energiakriisi leevenemise järgselt on energiakandjate hinnad mulluselt kõrgtasemelt alla tulnud, sh on Brent nafta 2023. aasta esimesel poolel odavnenud 26% ja TTF gaas odavnenud 56%. Gaasihoidlate täitmine on Euroopas edenenud plaanitust kiiremini ning praeguseks on täituvus ületanud 90%. Tulevikutehingute kohaselt peaks TTF gaasi hind suviselt madaltasemelt kütteperioodi lähenedes mõnevõrra kerkima. Nafta hind on sel aastal stabiliseerunud, mida ühelt poolt pärsib maailmamajanduse jahtumine ning teiselt poolt OPEC+ naftakartelli poolsed toodangukärped hinna kergitamiseks. Tulevikutehingute kohaselt kujuneb 2023. aastal Brent nafta hinnaks 82,1 dollarit ja 2024. aastal 82,0 dollarit. TTF gaasi hinnaks aastatel 2023 - 2024 vastavalt 43,3 €/MWh ja 50,6 €/MWh.</w:t>
      </w:r>
    </w:p>
    <w:p w14:paraId="2152396E" w14:textId="77777777" w:rsidR="0006057E" w:rsidRPr="0006057E" w:rsidRDefault="0006057E" w:rsidP="0006057E">
      <w:pPr>
        <w:pStyle w:val="Phitekst"/>
        <w:rPr>
          <w:highlight w:val="green"/>
        </w:rPr>
      </w:pPr>
    </w:p>
    <w:p w14:paraId="039B0257" w14:textId="5A7DF2C0" w:rsidR="001D7B36" w:rsidRPr="009514B4" w:rsidRDefault="001D7B36" w:rsidP="001D7B36">
      <w:pPr>
        <w:pStyle w:val="Caption"/>
        <w:rPr>
          <w:rStyle w:val="Strong"/>
          <w:rFonts w:cstheme="minorBidi"/>
          <w:b/>
          <w:bCs w:val="0"/>
        </w:rPr>
      </w:pPr>
      <w:r w:rsidRPr="009514B4">
        <w:rPr>
          <w:rStyle w:val="Strong"/>
          <w:rFonts w:cstheme="minorBidi"/>
          <w:b/>
          <w:bCs w:val="0"/>
        </w:rPr>
        <w:t>Rahandusprognoosi eeldused</w:t>
      </w:r>
    </w:p>
    <w:p w14:paraId="1F91AB7A" w14:textId="77777777" w:rsidR="0034301E" w:rsidRPr="00DD67C7" w:rsidRDefault="0034301E" w:rsidP="0034301E">
      <w:pPr>
        <w:pStyle w:val="Phitekst"/>
      </w:pPr>
      <w:r w:rsidRPr="00DD67C7">
        <w:t xml:space="preserve">Riigirahanduse </w:t>
      </w:r>
      <w:r>
        <w:rPr>
          <w:kern w:val="0"/>
          <w14:ligatures w14:val="none"/>
        </w:rPr>
        <w:t>prognoos koostatakse poliitikamuudatusteta stsenaariumina ja see on aluseks Vabariigi Valitsusele eelarvepoliitiliste dokumentide (riigieelarve ja riigi eelarvestrateegia) koostamisel. Poliitikamuudatusteta prognoosi korral eeldatakse, et olemasolevaid poliitikaid oluliselt ei muudeta ega kohandata, st et kehtivad poliitikad ja regulatsioonid jäävad prognoosiperioodi jooksul muutumatuks. Lähtutakse kehtivatest õigusaktidest ning piisava detailsusega heakskiidetud muudatustest/meetmetest (nt riigieelarve strateegia 2023-2026). Põhimõttelisi muutuseid, sh uusi tulusid või kulusid, mida ei ole samas veel otsustega kinnitatud, ei ole prognoosis arvestatud. See ei tähenda aga seda, et ilma konkreetsete otsusteta säilivad kulud samal tasemel terve prognoosiperioodi jooksul. Nt tegevuskulude korral on eeldatud siiski tavapärast kulude kasvu ka ilma vastavate Vabariigi Valitsuse otsusteta. Vastasel korral väheneks kulude reaaltase, mis vähendaks avalike teenuste pakkumisest ja tähendaks juba sisulist poliitikamuudatust. Samuti võetakse arvesse väliskeskkonnast tulenevaid tegureid nagu demograafia, majandustsüklid, keskkonnamõjud</w:t>
      </w:r>
      <w:r>
        <w:t>.</w:t>
      </w:r>
    </w:p>
    <w:p w14:paraId="326C334C" w14:textId="77777777" w:rsidR="0034301E" w:rsidRPr="00DD67C7" w:rsidRDefault="0034301E" w:rsidP="0034301E">
      <w:pPr>
        <w:pStyle w:val="Phitekst"/>
        <w:rPr>
          <w:rStyle w:val="Strong"/>
          <w:b w:val="0"/>
          <w:bCs w:val="0"/>
        </w:rPr>
      </w:pPr>
      <w:r w:rsidRPr="00DD67C7">
        <w:t>Riigirahanduse prognoos baseerub makromajandusprognoosi põhistsenaariumil</w:t>
      </w:r>
      <w:r w:rsidRPr="00DD67C7">
        <w:rPr>
          <w:rStyle w:val="Strong"/>
        </w:rPr>
        <w:t>.</w:t>
      </w:r>
    </w:p>
    <w:p w14:paraId="7BF8CB7D" w14:textId="77777777" w:rsidR="0034301E" w:rsidRPr="006D74DD" w:rsidRDefault="0034301E" w:rsidP="0034301E">
      <w:pPr>
        <w:pStyle w:val="Heading4"/>
      </w:pPr>
      <w:r w:rsidRPr="006D74DD">
        <w:t>Riigieelarve tulude prognoosi eeldused:</w:t>
      </w:r>
    </w:p>
    <w:p w14:paraId="12A3754C" w14:textId="77777777" w:rsidR="0034301E" w:rsidRPr="00417062" w:rsidRDefault="0034301E" w:rsidP="0034301E">
      <w:pPr>
        <w:pStyle w:val="Phitekst"/>
      </w:pPr>
      <w:r w:rsidRPr="00417062">
        <w:t>•</w:t>
      </w:r>
      <w:r w:rsidRPr="00417062">
        <w:tab/>
        <w:t>Maksuprognoosi aluseks on prognoosi üldpõhimõtted.</w:t>
      </w:r>
    </w:p>
    <w:p w14:paraId="23D793E4" w14:textId="77777777" w:rsidR="0034301E" w:rsidRPr="00417062" w:rsidRDefault="0034301E" w:rsidP="0034301E">
      <w:pPr>
        <w:pStyle w:val="Phitekst"/>
      </w:pPr>
      <w:r w:rsidRPr="00417062">
        <w:t>•</w:t>
      </w:r>
      <w:r w:rsidRPr="00417062">
        <w:tab/>
        <w:t xml:space="preserve">Koalitsioonileppes sisalduvatest maksu-muudatustest on prognoosis arvestatud: </w:t>
      </w:r>
    </w:p>
    <w:p w14:paraId="20515CE9" w14:textId="77777777" w:rsidR="0034301E" w:rsidRPr="00E53FA4" w:rsidRDefault="0034301E" w:rsidP="0034301E">
      <w:pPr>
        <w:pStyle w:val="ListParagraph"/>
        <w:numPr>
          <w:ilvl w:val="0"/>
          <w:numId w:val="13"/>
        </w:numPr>
        <w:autoSpaceDE w:val="0"/>
        <w:autoSpaceDN w:val="0"/>
        <w:spacing w:after="0" w:line="240" w:lineRule="auto"/>
        <w:contextualSpacing w:val="0"/>
        <w:jc w:val="both"/>
        <w:rPr>
          <w:rFonts w:cstheme="minorHAnsi"/>
        </w:rPr>
      </w:pPr>
      <w:r w:rsidRPr="00E53FA4">
        <w:rPr>
          <w:rFonts w:cstheme="minorHAnsi"/>
        </w:rPr>
        <w:t>Tulumaksu muudatused</w:t>
      </w:r>
    </w:p>
    <w:p w14:paraId="6C660A45" w14:textId="77777777" w:rsidR="0034301E" w:rsidRPr="00E53FA4" w:rsidRDefault="0034301E" w:rsidP="0034301E">
      <w:pPr>
        <w:pStyle w:val="ListParagraph"/>
        <w:numPr>
          <w:ilvl w:val="0"/>
          <w:numId w:val="13"/>
        </w:numPr>
        <w:autoSpaceDE w:val="0"/>
        <w:autoSpaceDN w:val="0"/>
        <w:spacing w:after="0" w:line="240" w:lineRule="auto"/>
        <w:contextualSpacing w:val="0"/>
        <w:jc w:val="both"/>
        <w:rPr>
          <w:rFonts w:cstheme="minorHAnsi"/>
        </w:rPr>
      </w:pPr>
      <w:r w:rsidRPr="00E53FA4">
        <w:rPr>
          <w:rFonts w:cstheme="minorHAnsi"/>
        </w:rPr>
        <w:t>Käibemaksu muudatused</w:t>
      </w:r>
    </w:p>
    <w:p w14:paraId="21A4D8AD" w14:textId="77777777" w:rsidR="0034301E" w:rsidRPr="00E53FA4" w:rsidRDefault="0034301E" w:rsidP="0034301E">
      <w:pPr>
        <w:pStyle w:val="ListParagraph"/>
        <w:numPr>
          <w:ilvl w:val="0"/>
          <w:numId w:val="13"/>
        </w:numPr>
        <w:autoSpaceDE w:val="0"/>
        <w:autoSpaceDN w:val="0"/>
        <w:spacing w:after="0" w:line="240" w:lineRule="auto"/>
        <w:contextualSpacing w:val="0"/>
        <w:jc w:val="both"/>
        <w:rPr>
          <w:rFonts w:cstheme="minorHAnsi"/>
        </w:rPr>
      </w:pPr>
      <w:r w:rsidRPr="00E53FA4">
        <w:rPr>
          <w:rFonts w:cstheme="minorHAnsi"/>
        </w:rPr>
        <w:t>Aktsiiside muudatused</w:t>
      </w:r>
    </w:p>
    <w:p w14:paraId="4C1935FF" w14:textId="77777777" w:rsidR="0034301E" w:rsidRPr="00E53FA4" w:rsidRDefault="0034301E" w:rsidP="0034301E">
      <w:pPr>
        <w:pStyle w:val="ListParagraph"/>
        <w:numPr>
          <w:ilvl w:val="0"/>
          <w:numId w:val="13"/>
        </w:numPr>
        <w:autoSpaceDE w:val="0"/>
        <w:autoSpaceDN w:val="0"/>
        <w:spacing w:after="0" w:line="240" w:lineRule="auto"/>
        <w:contextualSpacing w:val="0"/>
        <w:jc w:val="both"/>
        <w:rPr>
          <w:rFonts w:cstheme="minorHAnsi"/>
        </w:rPr>
      </w:pPr>
      <w:r w:rsidRPr="00E53FA4">
        <w:rPr>
          <w:rFonts w:cstheme="minorHAnsi"/>
        </w:rPr>
        <w:t>Hasartmängumaksu muudatused</w:t>
      </w:r>
    </w:p>
    <w:p w14:paraId="7E39469C" w14:textId="29F4282E" w:rsidR="0034301E" w:rsidRPr="00417062" w:rsidRDefault="0034301E" w:rsidP="0034301E">
      <w:pPr>
        <w:pStyle w:val="Phitekst"/>
      </w:pPr>
      <w:r w:rsidRPr="00417062">
        <w:t>•</w:t>
      </w:r>
      <w:r w:rsidRPr="00417062">
        <w:tab/>
        <w:t>Palga alammäära tõusu prognoosimisel kasutatakse Eesti Panga prognoositavat tööviljakuse kahekordset kasvu (Eesti Panga prognoos kuni 2025.</w:t>
      </w:r>
      <w:r w:rsidR="00867463">
        <w:t> </w:t>
      </w:r>
      <w:r w:rsidRPr="00417062">
        <w:t>aastani ning Rahandusministeeriumi prognoos aastateks 2026-2027) või palgakasvu, oleneb kumb on suurem. Põhjuseks on eesmärk viia alampalk 40% tasemeni keskmisest palgast.</w:t>
      </w:r>
    </w:p>
    <w:p w14:paraId="7656B9BE" w14:textId="77777777" w:rsidR="0034301E" w:rsidRPr="001A28DF" w:rsidRDefault="0034301E" w:rsidP="0034301E">
      <w:pPr>
        <w:pStyle w:val="Phitekst"/>
      </w:pPr>
      <w:r w:rsidRPr="001A28DF">
        <w:t>•</w:t>
      </w:r>
      <w:r w:rsidRPr="001A28DF">
        <w:tab/>
        <w:t>Mittemaksuliste tulude prognoosimisel võetakse aluseks senised laekumised ning valitsemis</w:t>
      </w:r>
      <w:r w:rsidRPr="001A28DF">
        <w:softHyphen/>
        <w:t>alade täpsustatud prognoosid (nt keskkonnatasud, CO2 tulud, omanikutulud).</w:t>
      </w:r>
    </w:p>
    <w:p w14:paraId="78209D97" w14:textId="77777777" w:rsidR="0034301E" w:rsidRPr="0088717A" w:rsidRDefault="0034301E" w:rsidP="0034301E">
      <w:pPr>
        <w:pStyle w:val="Phitekst"/>
      </w:pPr>
      <w:r w:rsidRPr="001A28DF">
        <w:t>•</w:t>
      </w:r>
      <w:r w:rsidRPr="001A28DF">
        <w:tab/>
        <w:t xml:space="preserve">2023. aasta dividendiprognoosis arvestatakse 2023. aasta dividendikorraldusega. Aastatel 2024–2027 on aluseks RES protsessi otsused ning äriühingute finantsprognoosid ja </w:t>
      </w:r>
      <w:r w:rsidRPr="0088717A">
        <w:t>dividendiettepanekud.</w:t>
      </w:r>
    </w:p>
    <w:p w14:paraId="164A9588" w14:textId="77777777" w:rsidR="0034301E" w:rsidRPr="006D74DD" w:rsidRDefault="0034301E" w:rsidP="0034301E">
      <w:pPr>
        <w:pStyle w:val="Heading4"/>
      </w:pPr>
      <w:r w:rsidRPr="006D74DD">
        <w:t>Riigieelarve kulude prognoosi eeldused:</w:t>
      </w:r>
    </w:p>
    <w:p w14:paraId="465736A2" w14:textId="77777777" w:rsidR="0034301E" w:rsidRPr="0088717A" w:rsidRDefault="0034301E" w:rsidP="0034301E">
      <w:pPr>
        <w:pStyle w:val="Phitekst"/>
      </w:pPr>
      <w:r w:rsidRPr="0088717A">
        <w:rPr>
          <w:rStyle w:val="Strong"/>
        </w:rPr>
        <w:t>•</w:t>
      </w:r>
      <w:r w:rsidRPr="0088717A">
        <w:rPr>
          <w:rStyle w:val="Strong"/>
        </w:rPr>
        <w:tab/>
      </w:r>
      <w:r w:rsidRPr="0088717A">
        <w:t>2023. aasta osas lähtutakse 2023. aasta eelarvest, riigieelarve täitmise andmetest ning valitsemisalade täpsustatud prognoosidest.</w:t>
      </w:r>
    </w:p>
    <w:p w14:paraId="1AD7AF7C" w14:textId="77777777" w:rsidR="0034301E" w:rsidRPr="0088717A" w:rsidRDefault="0034301E" w:rsidP="0034301E">
      <w:pPr>
        <w:pStyle w:val="Phitekst"/>
      </w:pPr>
      <w:r w:rsidRPr="0088717A">
        <w:t>•</w:t>
      </w:r>
      <w:r w:rsidRPr="0088717A">
        <w:tab/>
        <w:t>Aastate 2024–2027 kulude prognoosis lähtutakse 2023.a riigieelarvest, valitsemisalade esitatavatest rahastamiskavadest (sh koalitsioonileppe otsused) ja muudest sisenditest ning arvestuslike kulude ja tuludest sõltuvate kulude osas lähtutakse valitsemisalade täpsustatud prognoosidest (nt sotsiaalkulud).</w:t>
      </w:r>
    </w:p>
    <w:p w14:paraId="5F73D839" w14:textId="77777777" w:rsidR="0034301E" w:rsidRPr="0057137A" w:rsidRDefault="0034301E" w:rsidP="0034301E">
      <w:pPr>
        <w:pStyle w:val="Phitekst"/>
      </w:pPr>
      <w:r w:rsidRPr="0088717A">
        <w:t>•</w:t>
      </w:r>
      <w:r w:rsidRPr="0088717A">
        <w:tab/>
        <w:t>Kaitsekulude tase 2024-2027 moodustab vähemalt 3% SKPst, millele ei ole lisatud liitlasvägede kohalolekuga seotud täiendavaid kulusid.</w:t>
      </w:r>
    </w:p>
    <w:p w14:paraId="7A3AFB0A" w14:textId="77777777" w:rsidR="0034301E" w:rsidRPr="003E3702" w:rsidRDefault="0034301E" w:rsidP="0034301E">
      <w:pPr>
        <w:pStyle w:val="Heading4"/>
      </w:pPr>
      <w:r w:rsidRPr="003E3702">
        <w:t>Töötukassa eelarvepositsiooni kujunemise eeldused:</w:t>
      </w:r>
    </w:p>
    <w:p w14:paraId="43BDA3E5" w14:textId="77777777" w:rsidR="0034301E" w:rsidRPr="003E3702" w:rsidRDefault="0034301E" w:rsidP="0034301E">
      <w:pPr>
        <w:pStyle w:val="Phitekst"/>
      </w:pPr>
      <w:r w:rsidRPr="003E3702">
        <w:t>•</w:t>
      </w:r>
      <w:r w:rsidRPr="003E3702">
        <w:tab/>
        <w:t xml:space="preserve">Kulude prognoosimisel kasutatakse Töötukassa </w:t>
      </w:r>
      <w:proofErr w:type="spellStart"/>
      <w:r w:rsidRPr="003E3702">
        <w:t>uusimat</w:t>
      </w:r>
      <w:proofErr w:type="spellEnd"/>
      <w:r w:rsidRPr="003E3702">
        <w:t xml:space="preserve"> prognoosi, mis on koostatud Rahandusministeeriumi suvise makroprognoosi näitajate põhjal.</w:t>
      </w:r>
    </w:p>
    <w:p w14:paraId="5D456C5E" w14:textId="77777777" w:rsidR="0034301E" w:rsidRPr="003E3702" w:rsidRDefault="0034301E" w:rsidP="0034301E">
      <w:pPr>
        <w:pStyle w:val="Phitekst"/>
      </w:pPr>
      <w:r w:rsidRPr="003E3702">
        <w:lastRenderedPageBreak/>
        <w:t>•</w:t>
      </w:r>
      <w:r w:rsidRPr="003E3702">
        <w:tab/>
        <w:t>Tulude prognoosimisel lähtutakse Rahandusministeeriumi töötuskindlustusmakse prognoosist.</w:t>
      </w:r>
    </w:p>
    <w:p w14:paraId="4B5B4CBB" w14:textId="77777777" w:rsidR="0034301E" w:rsidRPr="003E3702" w:rsidRDefault="0034301E" w:rsidP="0034301E">
      <w:pPr>
        <w:pStyle w:val="Heading4"/>
      </w:pPr>
      <w:r w:rsidRPr="003E3702">
        <w:t>Tervisekassa eelarvepositsiooni kujunemise eeldused:</w:t>
      </w:r>
    </w:p>
    <w:p w14:paraId="089B8212" w14:textId="77777777" w:rsidR="0034301E" w:rsidRPr="003E3702" w:rsidRDefault="0034301E" w:rsidP="0034301E">
      <w:pPr>
        <w:pStyle w:val="Phitekst"/>
      </w:pPr>
      <w:r w:rsidRPr="003E3702">
        <w:t>•</w:t>
      </w:r>
      <w:r w:rsidRPr="003E3702">
        <w:tab/>
        <w:t>Eelarvepositsiooni aluseks on 2023. aastal võetud Tervisekassa 2023. aasta eelarves kinnitatud kulude maht. Aastatel 2024–2027 on kulude osas lähtutud Tervisekassa 4 aasta finantsplaanist, mis on koostatud 2023. aasta Rahandusministeeriumi suveprognoosi põhjal.</w:t>
      </w:r>
    </w:p>
    <w:p w14:paraId="50D9A1BD" w14:textId="77777777" w:rsidR="0034301E" w:rsidRPr="003E3702" w:rsidRDefault="0034301E" w:rsidP="0034301E">
      <w:pPr>
        <w:pStyle w:val="Phitekst"/>
      </w:pPr>
      <w:r w:rsidRPr="003E3702">
        <w:t>•</w:t>
      </w:r>
      <w:r w:rsidRPr="003E3702">
        <w:tab/>
        <w:t>Tulude prognoos on kogu perioodil vastavalt Rahandusministeeriumi suvisele prognoosile nii sotsiaalmaksu kui ka mittetöötavate pensionäride eraldise osas.</w:t>
      </w:r>
    </w:p>
    <w:p w14:paraId="481EA826" w14:textId="77777777" w:rsidR="0034301E" w:rsidRPr="008B4BEA" w:rsidRDefault="0034301E" w:rsidP="0034301E">
      <w:pPr>
        <w:pStyle w:val="Heading4"/>
      </w:pPr>
      <w:r w:rsidRPr="008B4BEA">
        <w:t>Kohalike omavalitsuste eelarvepositsiooni kujunemise eeldused:</w:t>
      </w:r>
    </w:p>
    <w:p w14:paraId="5B25A780" w14:textId="77777777" w:rsidR="0034301E" w:rsidRPr="008B4BEA" w:rsidRDefault="0034301E" w:rsidP="0034301E">
      <w:pPr>
        <w:pStyle w:val="Phitekst"/>
      </w:pPr>
      <w:r w:rsidRPr="008B4BEA">
        <w:t>•</w:t>
      </w:r>
      <w:r w:rsidRPr="008B4BEA">
        <w:tab/>
        <w:t xml:space="preserve">Prognoosi aluseks on võetud 2022. aasta tegelikud tulemused ning makromajandusprognoos, </w:t>
      </w:r>
      <w:r w:rsidRPr="008B4BEA">
        <w:t xml:space="preserve">sh arvestades </w:t>
      </w:r>
      <w:proofErr w:type="spellStart"/>
      <w:r w:rsidRPr="008B4BEA">
        <w:t>KOV-de</w:t>
      </w:r>
      <w:proofErr w:type="spellEnd"/>
      <w:r w:rsidRPr="008B4BEA">
        <w:t xml:space="preserve"> jooksvate kulude muutumisel inflatsiooni ja keskmise palga muutustega.</w:t>
      </w:r>
    </w:p>
    <w:p w14:paraId="4E97B057" w14:textId="77777777" w:rsidR="0034301E" w:rsidRPr="008B4BEA" w:rsidRDefault="0034301E" w:rsidP="0034301E">
      <w:pPr>
        <w:pStyle w:val="Heading4"/>
      </w:pPr>
      <w:r w:rsidRPr="008B4BEA">
        <w:t>Muud valitsussektori asutused:</w:t>
      </w:r>
    </w:p>
    <w:p w14:paraId="2C54E774" w14:textId="77777777" w:rsidR="0034301E" w:rsidRPr="008B4BEA" w:rsidRDefault="0034301E" w:rsidP="0034301E">
      <w:pPr>
        <w:pStyle w:val="Phitekst"/>
      </w:pPr>
      <w:r w:rsidRPr="008B4BEA">
        <w:t>•</w:t>
      </w:r>
      <w:r w:rsidRPr="008B4BEA">
        <w:tab/>
        <w:t>Keskvalitsuse juriidiliste isikute (sihtasutused, avalik-õiguslikud institutsioonid ja äriühingud) eelarvepositsiooni prognoosimisel lähtutakse nende esitatud finantsplaanist, mis peab vastama riigieelarve seaduses toodud põhitegevuse tulemi ja netovõlakoormuse reeglitele. Eeldatakse, et eelarveaasta kestel finantsplaanis näidatud põhitegevuse tulemit ja netovõlakoormust ei muudeta.</w:t>
      </w:r>
    </w:p>
    <w:p w14:paraId="00423E64" w14:textId="00347E83" w:rsidR="00EF50FD" w:rsidRPr="00414819" w:rsidRDefault="0034301E" w:rsidP="00C16840">
      <w:pPr>
        <w:pStyle w:val="Phitekst"/>
        <w:rPr>
          <w:bCs/>
          <w:highlight w:val="yellow"/>
        </w:rPr>
        <w:sectPr w:rsidR="00EF50FD" w:rsidRPr="00414819" w:rsidSect="00F418A6">
          <w:endnotePr>
            <w:numFmt w:val="decimal"/>
          </w:endnotePr>
          <w:type w:val="continuous"/>
          <w:pgSz w:w="11906" w:h="16838"/>
          <w:pgMar w:top="964" w:right="964" w:bottom="964" w:left="964" w:header="709" w:footer="709" w:gutter="0"/>
          <w:cols w:num="2" w:space="708"/>
          <w:docGrid w:linePitch="360"/>
        </w:sectPr>
      </w:pPr>
      <w:r w:rsidRPr="008B4BEA">
        <w:t>•</w:t>
      </w:r>
      <w:r w:rsidRPr="008B4BEA">
        <w:tab/>
        <w:t>Riigi Kinnisvara AS-i eelarvepositsiooni prognoosimisel lähtutakse nende finantsplaanist ning VV poolt heakskiidetud investeeringutest. Kajastatakse ainult sõlmitud rendilepinguid ning kontrollitakse nende vastavust riigieelarves näidatud rendimaksetega.</w:t>
      </w:r>
    </w:p>
    <w:p w14:paraId="05C4874A" w14:textId="77777777" w:rsidR="00877DC9" w:rsidRDefault="00877DC9" w:rsidP="00877DC9">
      <w:pPr>
        <w:pStyle w:val="Phitekst"/>
        <w:rPr>
          <w:highlight w:val="yellow"/>
        </w:rPr>
      </w:pPr>
      <w:bookmarkStart w:id="216" w:name="_Toc62631863"/>
      <w:bookmarkStart w:id="217" w:name="_Toc64504585"/>
    </w:p>
    <w:p w14:paraId="51307F22" w14:textId="77777777" w:rsidR="00C5527F" w:rsidRDefault="00C5527F" w:rsidP="00877DC9">
      <w:pPr>
        <w:pStyle w:val="Phitekst"/>
        <w:rPr>
          <w:highlight w:val="yellow"/>
        </w:rPr>
        <w:sectPr w:rsidR="00C5527F" w:rsidSect="00877DC9">
          <w:endnotePr>
            <w:numFmt w:val="decimal"/>
          </w:endnotePr>
          <w:type w:val="continuous"/>
          <w:pgSz w:w="11906" w:h="16838"/>
          <w:pgMar w:top="964" w:right="964" w:bottom="964" w:left="964" w:header="709" w:footer="709" w:gutter="0"/>
          <w:cols w:space="708"/>
          <w:docGrid w:linePitch="360"/>
        </w:sectPr>
      </w:pPr>
    </w:p>
    <w:p w14:paraId="36DC9BB4" w14:textId="3252E465" w:rsidR="00C5527F" w:rsidRPr="008478E8" w:rsidRDefault="00AB3347" w:rsidP="00C5527F">
      <w:pPr>
        <w:pStyle w:val="Numbritapealkiri"/>
        <w:keepNext w:val="0"/>
        <w:keepLines w:val="0"/>
        <w:spacing w:before="0"/>
      </w:pPr>
      <w:bookmarkStart w:id="218" w:name="_Toc143775513"/>
      <w:r w:rsidRPr="008478E8">
        <w:lastRenderedPageBreak/>
        <w:t xml:space="preserve">Lisa </w:t>
      </w:r>
      <w:r w:rsidRPr="008478E8">
        <w:rPr>
          <w:noProof/>
        </w:rPr>
        <w:fldChar w:fldCharType="begin"/>
      </w:r>
      <w:r w:rsidRPr="008478E8">
        <w:rPr>
          <w:noProof/>
        </w:rPr>
        <w:instrText xml:space="preserve"> SEQ Lisa \* ARABIC </w:instrText>
      </w:r>
      <w:r w:rsidRPr="008478E8">
        <w:rPr>
          <w:noProof/>
        </w:rPr>
        <w:fldChar w:fldCharType="separate"/>
      </w:r>
      <w:r>
        <w:rPr>
          <w:noProof/>
        </w:rPr>
        <w:t>2</w:t>
      </w:r>
      <w:r w:rsidRPr="008478E8">
        <w:rPr>
          <w:noProof/>
        </w:rPr>
        <w:fldChar w:fldCharType="end"/>
      </w:r>
      <w:r w:rsidRPr="008478E8">
        <w:t xml:space="preserve">. </w:t>
      </w:r>
      <w:r w:rsidRPr="00C5527F">
        <w:t>Koalitsioonileppe meetmete ülevaade</w:t>
      </w:r>
      <w:bookmarkEnd w:id="218"/>
      <w:r w:rsidRPr="00C5527F">
        <w:t xml:space="preserve"> </w:t>
      </w:r>
    </w:p>
    <w:p w14:paraId="5FCA9EBE" w14:textId="77777777" w:rsidR="00AB3347" w:rsidRDefault="00AB3347" w:rsidP="00C5527F">
      <w:pPr>
        <w:pStyle w:val="Phitekst"/>
        <w:sectPr w:rsidR="00AB3347" w:rsidSect="00AB3347">
          <w:endnotePr>
            <w:numFmt w:val="decimal"/>
          </w:endnotePr>
          <w:pgSz w:w="11906" w:h="16838"/>
          <w:pgMar w:top="964" w:right="964" w:bottom="964" w:left="964" w:header="709" w:footer="709" w:gutter="0"/>
          <w:cols w:space="708"/>
          <w:docGrid w:linePitch="360"/>
        </w:sectPr>
      </w:pPr>
    </w:p>
    <w:p w14:paraId="6C53CD20" w14:textId="77777777" w:rsidR="00C5527F" w:rsidRDefault="00C5527F" w:rsidP="00C5527F">
      <w:pPr>
        <w:pStyle w:val="Phitekst"/>
      </w:pPr>
      <w:r>
        <w:t>2023. aasta aprillis tööd alustanud Vabariigi Valitsus on seadnud koalitsioonileppes oma olulisemateks eesmärkideks Eesti iseseisva kaitsevõime hoidmise ja riigieelarve tasakaalu poole liikumise. Vabariigi Valitsus astus ametisse pärast Rahandusministeeriumi kevadist majandusprognoosi, mistõttu suvist ja kevadist prognoosi kõrvutades tuleb arvestada ka valitsuse otsuste mõjuga.</w:t>
      </w:r>
    </w:p>
    <w:p w14:paraId="65F12668" w14:textId="39215265" w:rsidR="00C5527F" w:rsidRDefault="00C5527F" w:rsidP="00C5527F">
      <w:pPr>
        <w:pStyle w:val="Phitekst"/>
      </w:pPr>
      <w:r>
        <w:t>Koalitsioonilepe sisaldab endas hulgaliselt erinevaid kulu- kui tulumeetmeid. Rahandusministeerium on oma suvises majandusprognoosis arvestanud nende maksumeetmetega, mis on seaduse tasandil kehtestatud ja täiendavate kuludega, mille osas on kulu mahtudes Vabariigi Valitsuses kokku lepitud. See tähendab, et prognoosis ei ole arvestatud kõigi kokku lepitud meetmetega, näiteks on väljas automaksu mõju, mille eelnõu on ettevalmistavas faasis</w:t>
      </w:r>
      <w:r w:rsidR="00EC7306">
        <w:t>. Lisaks on prognoosist väljas planeeritud keskkonna- ja saastetasude, teekasutustasu tõusud ning lisanduda võivad veel mitmed kulud.</w:t>
      </w:r>
    </w:p>
    <w:p w14:paraId="2395A035" w14:textId="29A80BF3" w:rsidR="00C5527F" w:rsidRDefault="00C5527F" w:rsidP="00C5527F">
      <w:pPr>
        <w:pStyle w:val="Phitekst"/>
      </w:pPr>
      <w:r>
        <w:t xml:space="preserve">Esialgne valitsuse plaan oli hoida eelarvepuudujääk alates järgmisest aastast allpool 3% SKPst. Kavandatud meetmete realiseerumisel saab see eesmärk 2024. aastal täidetud, kuid järgnevate aastate osas peab valitsus oma eesmärgi saavutamiseks tegema täiendavaid otsuseid. 2024. </w:t>
      </w:r>
      <w:r>
        <w:t>aastal oli valitsuse otsuste koondmõju eelarvepositsioonile +343 mln euro ehk 0,8% SKPst. Järgnevate aastate meetmete netomõju eelarvele on väiksem, sest 2024. aasta maksutõusudele lisandub 2025. aastal tööjõu maksukoormuse langetuse negatiivne mõju. Samuti toimub kaitsekulude märkimisväärne kasv, et hoida kõikidel prognoosiaastatel kaitsekulude taset vähemalt 3</w:t>
      </w:r>
      <w:r w:rsidR="009711DC">
        <w:t>%l</w:t>
      </w:r>
      <w:r>
        <w:t xml:space="preserve"> SKPst.</w:t>
      </w:r>
    </w:p>
    <w:p w14:paraId="132478B7" w14:textId="2A6FF1A2" w:rsidR="00C5527F" w:rsidRPr="00E04AF6" w:rsidRDefault="00C5527F" w:rsidP="00C5527F">
      <w:pPr>
        <w:pStyle w:val="Phitekst"/>
      </w:pPr>
      <w:r w:rsidRPr="00E04AF6">
        <w:t xml:space="preserve">Maailmamajanduses on 2023. aasta esimesel poolel olnud muutlikud ajad. Mullu majandusaktiivsust piiranud tegurid nagu tarnekatkestused on laias laastus taastunud ning globaalsed transpordikulud alanenud pandeemiaeelsele tasemele tagasi. Keskpangad on jätkanud rahapoliitika karmistamist, mille tulemusena on baasintressid kerkinud mitmel pool aastakümnete kõrgeimale tasemele. Kõrgete intressidega ja heitliku </w:t>
      </w:r>
      <w:proofErr w:type="spellStart"/>
      <w:r w:rsidRPr="00E04AF6">
        <w:t>välisnõudlusega</w:t>
      </w:r>
      <w:proofErr w:type="spellEnd"/>
      <w:r w:rsidRPr="00E04AF6">
        <w:t xml:space="preserve"> kaasnenud majandusaktiivsuse nõrgenemine on avaldunud suuremal määral euroalal, mis niigi kannatas Ukraina sõjaga kaasnenud energiakriisi käes. Inflatsioon euroalal on küll jõudsalt taandumas energiahindade langusesse pöördumise ja toidu hinnatõusu pidurdumise toel, aga alusinflatsiooni taandumine on seni olnud tagasihoidlik.</w:t>
      </w:r>
    </w:p>
    <w:p w14:paraId="29F1D425" w14:textId="77777777" w:rsidR="00C5527F" w:rsidRDefault="00C5527F" w:rsidP="00877DC9">
      <w:pPr>
        <w:pStyle w:val="Phitekst"/>
        <w:rPr>
          <w:highlight w:val="yellow"/>
        </w:rPr>
      </w:pPr>
    </w:p>
    <w:p w14:paraId="4CE06697" w14:textId="77777777" w:rsidR="006D74DD" w:rsidRDefault="006D74DD" w:rsidP="00877DC9">
      <w:pPr>
        <w:pStyle w:val="Phitekst"/>
        <w:rPr>
          <w:highlight w:val="yellow"/>
        </w:rPr>
      </w:pPr>
    </w:p>
    <w:p w14:paraId="53B8B90B" w14:textId="77777777" w:rsidR="006D74DD" w:rsidRDefault="006D74DD" w:rsidP="00877DC9">
      <w:pPr>
        <w:pStyle w:val="Phitekst"/>
        <w:rPr>
          <w:highlight w:val="yellow"/>
        </w:rPr>
        <w:sectPr w:rsidR="006D74DD" w:rsidSect="00AB3347">
          <w:endnotePr>
            <w:numFmt w:val="decimal"/>
          </w:endnotePr>
          <w:type w:val="continuous"/>
          <w:pgSz w:w="11906" w:h="16838"/>
          <w:pgMar w:top="964" w:right="964" w:bottom="964" w:left="964" w:header="709" w:footer="709" w:gutter="0"/>
          <w:cols w:num="2" w:space="708"/>
          <w:docGrid w:linePitch="360"/>
        </w:sectPr>
      </w:pPr>
    </w:p>
    <w:p w14:paraId="5A281A32" w14:textId="291E1A22" w:rsidR="00C5527F" w:rsidRDefault="00C5527F" w:rsidP="00C5527F">
      <w:pPr>
        <w:pStyle w:val="Caption"/>
        <w:rPr>
          <w:highlight w:val="yellow"/>
        </w:rPr>
      </w:pPr>
      <w:bookmarkStart w:id="219" w:name="_Toc143775538"/>
      <w:r>
        <w:t xml:space="preserve">Joonis </w:t>
      </w:r>
      <w:r w:rsidR="004C0EAE">
        <w:fldChar w:fldCharType="begin"/>
      </w:r>
      <w:r w:rsidR="004C0EAE">
        <w:instrText xml:space="preserve"> SEQ Joonis \* ARABIC </w:instrText>
      </w:r>
      <w:r w:rsidR="004C0EAE">
        <w:fldChar w:fldCharType="separate"/>
      </w:r>
      <w:r>
        <w:rPr>
          <w:noProof/>
        </w:rPr>
        <w:t>23</w:t>
      </w:r>
      <w:r w:rsidR="004C0EAE">
        <w:rPr>
          <w:noProof/>
        </w:rPr>
        <w:fldChar w:fldCharType="end"/>
      </w:r>
      <w:r>
        <w:t xml:space="preserve">. </w:t>
      </w:r>
      <w:r w:rsidRPr="00C5527F">
        <w:t>Koalitsioonileppe meetme</w:t>
      </w:r>
      <w:r w:rsidR="005944E8">
        <w:t>te mõju eelarvepositsioonile (mln EUR)</w:t>
      </w:r>
      <w:bookmarkEnd w:id="219"/>
    </w:p>
    <w:p w14:paraId="1B3F7471" w14:textId="1A0D9172" w:rsidR="00C5527F" w:rsidRDefault="009F63A8" w:rsidP="00877DC9">
      <w:pPr>
        <w:pStyle w:val="Phitekst"/>
        <w:rPr>
          <w:highlight w:val="yellow"/>
        </w:rPr>
      </w:pPr>
      <w:r>
        <w:rPr>
          <w:noProof/>
          <w14:ligatures w14:val="none"/>
        </w:rPr>
        <w:drawing>
          <wp:inline distT="0" distB="0" distL="0" distR="0" wp14:anchorId="15917777" wp14:editId="70D50271">
            <wp:extent cx="6350000" cy="2533650"/>
            <wp:effectExtent l="0" t="0" r="0" b="0"/>
            <wp:docPr id="1884679677" name="Diagramm 1">
              <a:extLst xmlns:a="http://schemas.openxmlformats.org/drawingml/2006/main">
                <a:ext uri="{FF2B5EF4-FFF2-40B4-BE49-F238E27FC236}">
                  <a16:creationId xmlns:a16="http://schemas.microsoft.com/office/drawing/2014/main" id="{D04D2DF7-56C2-7C9E-6CF3-17F98647A1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92D050F" w14:textId="77777777" w:rsidR="00C5527F" w:rsidRDefault="00C5527F" w:rsidP="00877DC9">
      <w:pPr>
        <w:pStyle w:val="Phitekst"/>
        <w:rPr>
          <w:highlight w:val="yellow"/>
        </w:rPr>
      </w:pPr>
    </w:p>
    <w:p w14:paraId="602846C7" w14:textId="77777777" w:rsidR="00C5527F" w:rsidRDefault="00C5527F" w:rsidP="00877DC9">
      <w:pPr>
        <w:pStyle w:val="Phitekst"/>
        <w:rPr>
          <w:highlight w:val="yellow"/>
        </w:rPr>
        <w:sectPr w:rsidR="00C5527F" w:rsidSect="00C5527F">
          <w:endnotePr>
            <w:numFmt w:val="decimal"/>
          </w:endnotePr>
          <w:type w:val="continuous"/>
          <w:pgSz w:w="11906" w:h="16838"/>
          <w:pgMar w:top="964" w:right="964" w:bottom="964" w:left="964" w:header="709" w:footer="709" w:gutter="0"/>
          <w:cols w:space="708"/>
          <w:docGrid w:linePitch="360"/>
        </w:sectPr>
      </w:pPr>
    </w:p>
    <w:p w14:paraId="0C28F243" w14:textId="41DFAF38" w:rsidR="00C5527F" w:rsidRDefault="00C5527F" w:rsidP="00C5527F">
      <w:pPr>
        <w:pStyle w:val="Phitekst"/>
      </w:pPr>
      <w:r>
        <w:t xml:space="preserve">Majandusprognoosis paraneb eelarve puudujääk meetmete tulemusel 2024. aastal </w:t>
      </w:r>
      <w:r>
        <w:t>0,8</w:t>
      </w:r>
      <w:r w:rsidR="009711DC">
        <w:t> </w:t>
      </w:r>
      <w:r>
        <w:t>protsendi</w:t>
      </w:r>
      <w:r w:rsidR="009711DC">
        <w:t>punkti</w:t>
      </w:r>
      <w:r>
        <w:t xml:space="preserve"> võrra SKPst. Peamine positiivne mõju tuleneb käibemaksu määra 22 protsendile </w:t>
      </w:r>
      <w:r>
        <w:lastRenderedPageBreak/>
        <w:t>tõstmisest. Eelarve puudujääki vähendab ka peretoetuste kärpimine 0,2 protsenti SKPst.</w:t>
      </w:r>
    </w:p>
    <w:p w14:paraId="19E2BD2C" w14:textId="318877EA" w:rsidR="00C5527F" w:rsidRDefault="00C5527F" w:rsidP="00C5527F">
      <w:pPr>
        <w:pStyle w:val="Phitekst"/>
      </w:pPr>
      <w:r>
        <w:t>Alates 2025-ndast aastast on uute meetmete mõju riigieelarve puudujäägile nullilähedane, sest tulu- ja kulumeetmed tasakaalustuvad. 2026. aastal positsioon paraneb 0,2</w:t>
      </w:r>
      <w:r w:rsidR="009711DC">
        <w:t>%</w:t>
      </w:r>
      <w:r>
        <w:t xml:space="preserve"> võrra SKPst ja 2027. aastal halveneb -0,1</w:t>
      </w:r>
      <w:r w:rsidR="00CB1BCE">
        <w:t>%</w:t>
      </w:r>
      <w:r>
        <w:t xml:space="preserve"> SKPst. Lisaks juba kehtestatud seadusemuudatustele suurendab 2026</w:t>
      </w:r>
      <w:r w:rsidR="00867463">
        <w:t>.</w:t>
      </w:r>
      <w:r>
        <w:t xml:space="preserve"> ja 2027</w:t>
      </w:r>
      <w:r w:rsidR="00867463">
        <w:t>. </w:t>
      </w:r>
      <w:r>
        <w:t>aastal oluliselt defitsiiti kaitsekulude taseme tõstmine 3</w:t>
      </w:r>
      <w:r w:rsidR="009711DC">
        <w:t>%</w:t>
      </w:r>
      <w:r>
        <w:t xml:space="preserve">le SKPst ehk </w:t>
      </w:r>
      <w:r w:rsidR="00867463">
        <w:t>1</w:t>
      </w:r>
      <w:r>
        <w:t xml:space="preserve"> protsendipunkti võrra 2027. aastal.</w:t>
      </w:r>
    </w:p>
    <w:p w14:paraId="2FA46B4F" w14:textId="6E9EC461" w:rsidR="00C5527F" w:rsidRDefault="00C5527F" w:rsidP="00C5527F">
      <w:pPr>
        <w:pStyle w:val="Phitekst"/>
      </w:pPr>
      <w:r>
        <w:t>Hetkel on veel töös mitmed seadusemuudatused, mis tulenevad Vabariigi Valitsuse kokkuleppest ja tööplaanist, näiteks automaks ja keskkonnatasude tõus. Peale nende muudatuste paraneb eelarve tasakaal 2024. aastal 0,1</w:t>
      </w:r>
      <w:r w:rsidR="00CB1BCE">
        <w:t>%</w:t>
      </w:r>
      <w:r>
        <w:t xml:space="preserve"> SKPst ning järgnevatel aastatel 0,4</w:t>
      </w:r>
      <w:r w:rsidR="00CB1BCE">
        <w:t>%</w:t>
      </w:r>
      <w:r>
        <w:t xml:space="preserve"> SKPst.</w:t>
      </w:r>
    </w:p>
    <w:p w14:paraId="1681A5C0" w14:textId="77777777" w:rsidR="00C5527F" w:rsidRPr="005144A8" w:rsidRDefault="00C5527F" w:rsidP="00C5527F">
      <w:pPr>
        <w:pStyle w:val="Phitekst"/>
        <w:rPr>
          <w:rStyle w:val="Strong"/>
        </w:rPr>
      </w:pPr>
      <w:r w:rsidRPr="005144A8">
        <w:rPr>
          <w:rStyle w:val="Strong"/>
        </w:rPr>
        <w:t>Makromajanduslik mõju</w:t>
      </w:r>
    </w:p>
    <w:p w14:paraId="06C06AC1" w14:textId="77777777" w:rsidR="00C5527F" w:rsidRDefault="00C5527F" w:rsidP="00C5527F">
      <w:pPr>
        <w:pStyle w:val="Phitekst"/>
      </w:pPr>
      <w:r>
        <w:t xml:space="preserve">Järgnevateks aastateks planeeritud maksumuudatuste ning kulukärbete tagajärjel väheneb lühiajaliselt eelarve tugi majandusele, nõrgendades majanduse oodatavat taastumist. Maksumuudatuste koostoimel kaasneb maksukoormuse tõus võrreldes kevadprognoosis eeldatuga, mistõttu majapidamiste ostujõu kasv väheneb 2024. aastal. Füüsilisest isiku tulumaksu </w:t>
      </w:r>
      <w:r>
        <w:t>muudatused rakenduvad 2025. aastast, mille tulemusena majapidamiste tulumaksukoormus väheneb ning netopalga kasv kiireneb ajutiselt. Pikemas perspektiivis kaasneb eelarveseisu parandamisega laenu teenindamisega seotud kulude vähenemine ning riigi riskisus püsib madalal, tagades soodsa ettevõtluskeskkonna püsimise ning jätksuutliku majanduse arengu.</w:t>
      </w:r>
    </w:p>
    <w:p w14:paraId="1ECC23D7" w14:textId="77777777" w:rsidR="00C5527F" w:rsidRDefault="00C5527F" w:rsidP="00C5527F">
      <w:pPr>
        <w:pStyle w:val="Phitekst"/>
      </w:pPr>
      <w:r>
        <w:t>Planeeritud maksumuudatustega kaasneb tuntav mõju tarbijahindadele. Aastatel 2024 – 2026 ulatub prognoosis arvestatud maksumeetmete hinnanguline mõju THI-</w:t>
      </w:r>
      <w:proofErr w:type="spellStart"/>
      <w:r>
        <w:t>le</w:t>
      </w:r>
      <w:proofErr w:type="spellEnd"/>
      <w:r>
        <w:t xml:space="preserve"> vastavalt 1,60%; 0,26% ja 0,21%ni. Valdava osa meetmetega kaasnevast </w:t>
      </w:r>
      <w:proofErr w:type="spellStart"/>
      <w:r>
        <w:t>inflatsioonilisest</w:t>
      </w:r>
      <w:proofErr w:type="spellEnd"/>
      <w:r>
        <w:t xml:space="preserve"> mõjust moodustab käibemaksu määra tõstmine, kus on eeldatud, et maksumäära tõstmine kandub kogu ulatuses lõpphinda. Seega 2024. aasta oodatavast THI-st moodustavad maksumeetmed pea kolmandiku, järgnevatel aastatel jääb nende mõju inflatsioonile tagasihoidlikuks.</w:t>
      </w:r>
    </w:p>
    <w:p w14:paraId="33EE1479" w14:textId="1887ABA6" w:rsidR="00C5527F" w:rsidRDefault="00C5527F" w:rsidP="00C5527F">
      <w:pPr>
        <w:pStyle w:val="Phitekst"/>
        <w:rPr>
          <w:highlight w:val="yellow"/>
        </w:rPr>
      </w:pPr>
      <w:r>
        <w:t>Pikemas perspektiivis on aga riigieelarve tasakaalu poole liikumine ning võlakoormuse kasvu stabiliseerimine makromajandusele positiivse mõjuga, sest see suurendab riigivõla kasvust tingitud probleemide riski, riigi intressikulusid ning säilitab ja loob riigi jaoks rohkem fiskaalpoliitilist ruumi tulevaste kriisidega toimetulemisel.</w:t>
      </w:r>
    </w:p>
    <w:p w14:paraId="30C12446" w14:textId="4F22D14E" w:rsidR="00877DC9" w:rsidRPr="00414819" w:rsidRDefault="00877DC9" w:rsidP="00877DC9">
      <w:pPr>
        <w:spacing w:after="0"/>
        <w:rPr>
          <w:highlight w:val="yellow"/>
        </w:rPr>
        <w:sectPr w:rsidR="00877DC9" w:rsidRPr="00414819" w:rsidSect="00C5527F">
          <w:endnotePr>
            <w:numFmt w:val="decimal"/>
          </w:endnotePr>
          <w:type w:val="continuous"/>
          <w:pgSz w:w="11906" w:h="16838"/>
          <w:pgMar w:top="964" w:right="964" w:bottom="964" w:left="964" w:header="709" w:footer="709" w:gutter="0"/>
          <w:cols w:num="2" w:space="708"/>
          <w:docGrid w:linePitch="360"/>
        </w:sectPr>
      </w:pPr>
    </w:p>
    <w:p w14:paraId="2BE363DE" w14:textId="77777777" w:rsidR="00B56E1F" w:rsidRDefault="00B56E1F" w:rsidP="00E66452">
      <w:pPr>
        <w:pStyle w:val="Numbritapealkiri"/>
        <w:sectPr w:rsidR="00B56E1F" w:rsidSect="00C5527F">
          <w:endnotePr>
            <w:numFmt w:val="decimal"/>
          </w:endnotePr>
          <w:type w:val="continuous"/>
          <w:pgSz w:w="11906" w:h="16838"/>
          <w:pgMar w:top="964" w:right="964" w:bottom="964" w:left="964" w:header="709" w:footer="709" w:gutter="0"/>
          <w:cols w:space="708"/>
          <w:docGrid w:linePitch="360"/>
        </w:sectPr>
      </w:pPr>
      <w:bookmarkStart w:id="220" w:name="_Toc62631872"/>
      <w:bookmarkStart w:id="221" w:name="_Toc64504594"/>
      <w:bookmarkEnd w:id="211"/>
      <w:bookmarkEnd w:id="216"/>
      <w:bookmarkEnd w:id="217"/>
    </w:p>
    <w:p w14:paraId="0A49A21F" w14:textId="6CEC1AAF" w:rsidR="0056277B" w:rsidRPr="00E04AF6" w:rsidRDefault="00D84B51" w:rsidP="00E66452">
      <w:pPr>
        <w:pStyle w:val="Numbritapealkiri"/>
      </w:pPr>
      <w:bookmarkStart w:id="222" w:name="_Toc143775514"/>
      <w:r w:rsidRPr="008478E8">
        <w:lastRenderedPageBreak/>
        <w:t xml:space="preserve">Lisa </w:t>
      </w:r>
      <w:r w:rsidRPr="008478E8">
        <w:rPr>
          <w:noProof/>
        </w:rPr>
        <w:fldChar w:fldCharType="begin"/>
      </w:r>
      <w:r w:rsidRPr="008478E8">
        <w:rPr>
          <w:noProof/>
        </w:rPr>
        <w:instrText xml:space="preserve"> SEQ Lisa \* ARABIC </w:instrText>
      </w:r>
      <w:r w:rsidRPr="008478E8">
        <w:rPr>
          <w:noProof/>
        </w:rPr>
        <w:fldChar w:fldCharType="separate"/>
      </w:r>
      <w:r>
        <w:rPr>
          <w:noProof/>
        </w:rPr>
        <w:t>3</w:t>
      </w:r>
      <w:r w:rsidRPr="008478E8">
        <w:rPr>
          <w:noProof/>
        </w:rPr>
        <w:fldChar w:fldCharType="end"/>
      </w:r>
      <w:r w:rsidRPr="008478E8">
        <w:t xml:space="preserve">. </w:t>
      </w:r>
      <w:r w:rsidR="0056277B" w:rsidRPr="00E04AF6">
        <w:t>TÄIENDAVAD TABELID</w:t>
      </w:r>
      <w:bookmarkEnd w:id="220"/>
      <w:bookmarkEnd w:id="221"/>
      <w:r w:rsidR="00EE4BC2" w:rsidRPr="00E04AF6">
        <w:t xml:space="preserve"> JA JOONISED</w:t>
      </w:r>
      <w:bookmarkEnd w:id="222"/>
    </w:p>
    <w:p w14:paraId="6918B30A" w14:textId="05A87B09" w:rsidR="00831AD9" w:rsidRPr="00FB26A6" w:rsidRDefault="00831AD9" w:rsidP="00E54FF2">
      <w:pPr>
        <w:pStyle w:val="Caption"/>
      </w:pPr>
      <w:bookmarkStart w:id="223" w:name="_Ref511389089"/>
      <w:bookmarkStart w:id="224" w:name="_Toc511374597"/>
      <w:bookmarkStart w:id="225" w:name="_Toc4502665"/>
      <w:bookmarkStart w:id="226" w:name="_Ref511388689"/>
      <w:bookmarkStart w:id="227" w:name="_Ref505759308"/>
      <w:bookmarkStart w:id="228" w:name="_Toc143775547"/>
      <w:bookmarkEnd w:id="212"/>
      <w:bookmarkEnd w:id="213"/>
      <w:r w:rsidRPr="00FB26A6">
        <w:t xml:space="preserve">Tabel </w:t>
      </w:r>
      <w:r w:rsidR="004C0EAE">
        <w:fldChar w:fldCharType="begin"/>
      </w:r>
      <w:r w:rsidR="004C0EAE">
        <w:instrText xml:space="preserve"> SEQ Tabel \* ARABIC </w:instrText>
      </w:r>
      <w:r w:rsidR="004C0EAE">
        <w:fldChar w:fldCharType="separate"/>
      </w:r>
      <w:r w:rsidR="008478E8">
        <w:rPr>
          <w:noProof/>
        </w:rPr>
        <w:t>6</w:t>
      </w:r>
      <w:r w:rsidR="004C0EAE">
        <w:rPr>
          <w:noProof/>
        </w:rPr>
        <w:fldChar w:fldCharType="end"/>
      </w:r>
      <w:bookmarkEnd w:id="223"/>
      <w:r w:rsidRPr="00FB26A6">
        <w:t>. Sisemajanduse koguprodukti prognoos 202</w:t>
      </w:r>
      <w:r w:rsidR="006117CC" w:rsidRPr="00FB26A6">
        <w:t>3</w:t>
      </w:r>
      <w:r w:rsidRPr="00FB26A6">
        <w:t>-</w:t>
      </w:r>
      <w:bookmarkEnd w:id="224"/>
      <w:bookmarkEnd w:id="225"/>
      <w:r w:rsidRPr="00FB26A6">
        <w:t>202</w:t>
      </w:r>
      <w:r w:rsidR="006117CC" w:rsidRPr="00FB26A6">
        <w:t>7</w:t>
      </w:r>
      <w:bookmarkEnd w:id="228"/>
    </w:p>
    <w:tbl>
      <w:tblPr>
        <w:tblStyle w:val="TableSubtle1"/>
        <w:tblW w:w="10043" w:type="dxa"/>
        <w:jc w:val="center"/>
        <w:tblLook w:val="04A0" w:firstRow="1" w:lastRow="0" w:firstColumn="1" w:lastColumn="0" w:noHBand="0" w:noVBand="1"/>
      </w:tblPr>
      <w:tblGrid>
        <w:gridCol w:w="2338"/>
        <w:gridCol w:w="1064"/>
        <w:gridCol w:w="948"/>
        <w:gridCol w:w="949"/>
        <w:gridCol w:w="949"/>
        <w:gridCol w:w="948"/>
        <w:gridCol w:w="949"/>
        <w:gridCol w:w="949"/>
        <w:gridCol w:w="949"/>
      </w:tblGrid>
      <w:tr w:rsidR="006117CC" w:rsidRPr="00FB26A6" w14:paraId="53C187B1" w14:textId="77777777" w:rsidTr="00F23DB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73996F61" w14:textId="77777777" w:rsidR="006117CC" w:rsidRPr="00FB26A6" w:rsidRDefault="006117CC" w:rsidP="006117CC">
            <w:pPr>
              <w:pStyle w:val="Tabelid"/>
            </w:pPr>
            <w:r w:rsidRPr="00FB26A6">
              <w:t>%</w:t>
            </w:r>
          </w:p>
        </w:tc>
        <w:tc>
          <w:tcPr>
            <w:tcW w:w="1064" w:type="dxa"/>
          </w:tcPr>
          <w:p w14:paraId="6052D9E4" w14:textId="2FF7D890"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2011-20</w:t>
            </w:r>
          </w:p>
        </w:tc>
        <w:tc>
          <w:tcPr>
            <w:tcW w:w="948" w:type="dxa"/>
          </w:tcPr>
          <w:p w14:paraId="657DF131" w14:textId="42AA52E1"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2021</w:t>
            </w:r>
          </w:p>
        </w:tc>
        <w:tc>
          <w:tcPr>
            <w:tcW w:w="949" w:type="dxa"/>
            <w:hideMark/>
          </w:tcPr>
          <w:p w14:paraId="2B9ADE30" w14:textId="26BBA6C1"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2022</w:t>
            </w:r>
          </w:p>
        </w:tc>
        <w:tc>
          <w:tcPr>
            <w:tcW w:w="949" w:type="dxa"/>
            <w:hideMark/>
          </w:tcPr>
          <w:p w14:paraId="6F4A94CD" w14:textId="74CDBF5E"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2023</w:t>
            </w:r>
          </w:p>
        </w:tc>
        <w:tc>
          <w:tcPr>
            <w:tcW w:w="948" w:type="dxa"/>
            <w:hideMark/>
          </w:tcPr>
          <w:p w14:paraId="1B3B739C" w14:textId="15224AB0"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2024</w:t>
            </w:r>
          </w:p>
        </w:tc>
        <w:tc>
          <w:tcPr>
            <w:tcW w:w="949" w:type="dxa"/>
            <w:hideMark/>
          </w:tcPr>
          <w:p w14:paraId="52CEFA51" w14:textId="64BFC8E4"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2025</w:t>
            </w:r>
          </w:p>
        </w:tc>
        <w:tc>
          <w:tcPr>
            <w:tcW w:w="949" w:type="dxa"/>
            <w:hideMark/>
          </w:tcPr>
          <w:p w14:paraId="6965DCAD" w14:textId="638F99EE"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2026</w:t>
            </w:r>
          </w:p>
        </w:tc>
        <w:tc>
          <w:tcPr>
            <w:tcW w:w="949" w:type="dxa"/>
            <w:hideMark/>
          </w:tcPr>
          <w:p w14:paraId="03CFBE3B" w14:textId="0B42D441"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2027</w:t>
            </w:r>
          </w:p>
        </w:tc>
      </w:tr>
      <w:tr w:rsidR="00FB26A6" w:rsidRPr="00FB26A6" w14:paraId="2C202BF2" w14:textId="77777777" w:rsidTr="000F13F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427F7C39" w14:textId="77777777" w:rsidR="00FB26A6" w:rsidRPr="00FB26A6" w:rsidRDefault="00FB26A6" w:rsidP="00FB26A6">
            <w:pPr>
              <w:pStyle w:val="Tabelid"/>
            </w:pPr>
            <w:r w:rsidRPr="00FB26A6">
              <w:t>1. SKP reaalkasv</w:t>
            </w:r>
          </w:p>
        </w:tc>
        <w:tc>
          <w:tcPr>
            <w:tcW w:w="1064" w:type="dxa"/>
            <w:vAlign w:val="center"/>
          </w:tcPr>
          <w:p w14:paraId="2FCD7844" w14:textId="5C4EED69"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3,3</w:t>
            </w:r>
          </w:p>
        </w:tc>
        <w:tc>
          <w:tcPr>
            <w:tcW w:w="948" w:type="dxa"/>
            <w:vAlign w:val="center"/>
          </w:tcPr>
          <w:p w14:paraId="788B8F35" w14:textId="48330239"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7,2</w:t>
            </w:r>
          </w:p>
        </w:tc>
        <w:tc>
          <w:tcPr>
            <w:tcW w:w="949" w:type="dxa"/>
            <w:vAlign w:val="center"/>
            <w:hideMark/>
          </w:tcPr>
          <w:p w14:paraId="1D01E189" w14:textId="74E6D6C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-0,5</w:t>
            </w:r>
          </w:p>
        </w:tc>
        <w:tc>
          <w:tcPr>
            <w:tcW w:w="949" w:type="dxa"/>
            <w:vAlign w:val="center"/>
            <w:hideMark/>
          </w:tcPr>
          <w:p w14:paraId="6C361338" w14:textId="4E25DDA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-2,0</w:t>
            </w:r>
          </w:p>
        </w:tc>
        <w:tc>
          <w:tcPr>
            <w:tcW w:w="948" w:type="dxa"/>
            <w:vAlign w:val="center"/>
            <w:hideMark/>
          </w:tcPr>
          <w:p w14:paraId="718C2C00" w14:textId="3C956CB4"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2,7</w:t>
            </w:r>
          </w:p>
        </w:tc>
        <w:tc>
          <w:tcPr>
            <w:tcW w:w="949" w:type="dxa"/>
            <w:vAlign w:val="center"/>
            <w:hideMark/>
          </w:tcPr>
          <w:p w14:paraId="2980E221" w14:textId="5577986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3,0</w:t>
            </w:r>
          </w:p>
        </w:tc>
        <w:tc>
          <w:tcPr>
            <w:tcW w:w="949" w:type="dxa"/>
            <w:vAlign w:val="center"/>
            <w:hideMark/>
          </w:tcPr>
          <w:p w14:paraId="506FD5A4" w14:textId="1AC40359"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2,5</w:t>
            </w:r>
          </w:p>
        </w:tc>
        <w:tc>
          <w:tcPr>
            <w:tcW w:w="949" w:type="dxa"/>
            <w:vAlign w:val="center"/>
            <w:hideMark/>
          </w:tcPr>
          <w:p w14:paraId="6D63E39F" w14:textId="4C50261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2,2</w:t>
            </w:r>
          </w:p>
        </w:tc>
      </w:tr>
      <w:tr w:rsidR="00FB26A6" w:rsidRPr="00FB26A6" w14:paraId="76253272" w14:textId="77777777" w:rsidTr="000F13F8">
        <w:trPr>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6942AD04" w14:textId="77777777" w:rsidR="00FB26A6" w:rsidRPr="00FB26A6" w:rsidRDefault="00FB26A6" w:rsidP="00FB26A6">
            <w:pPr>
              <w:pStyle w:val="Tabelid"/>
            </w:pPr>
            <w:r w:rsidRPr="00FB26A6">
              <w:t>1a. SKP püsivhindades (mld eurot)</w:t>
            </w:r>
          </w:p>
        </w:tc>
        <w:tc>
          <w:tcPr>
            <w:tcW w:w="1064" w:type="dxa"/>
            <w:vAlign w:val="center"/>
          </w:tcPr>
          <w:p w14:paraId="3DF464F2" w14:textId="719693F4"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8" w:type="dxa"/>
            <w:vAlign w:val="center"/>
          </w:tcPr>
          <w:p w14:paraId="63D1605E" w14:textId="5DD630A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25,8</w:t>
            </w:r>
          </w:p>
        </w:tc>
        <w:tc>
          <w:tcPr>
            <w:tcW w:w="949" w:type="dxa"/>
            <w:vAlign w:val="center"/>
            <w:hideMark/>
          </w:tcPr>
          <w:p w14:paraId="726AE8C9" w14:textId="2E2A143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25,7</w:t>
            </w:r>
          </w:p>
        </w:tc>
        <w:tc>
          <w:tcPr>
            <w:tcW w:w="949" w:type="dxa"/>
            <w:vAlign w:val="center"/>
            <w:hideMark/>
          </w:tcPr>
          <w:p w14:paraId="0A7163C7" w14:textId="2F6EC52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25,2</w:t>
            </w:r>
          </w:p>
        </w:tc>
        <w:tc>
          <w:tcPr>
            <w:tcW w:w="948" w:type="dxa"/>
            <w:vAlign w:val="center"/>
            <w:hideMark/>
          </w:tcPr>
          <w:p w14:paraId="3B0D8D67" w14:textId="293CDBB7"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25,9</w:t>
            </w:r>
          </w:p>
        </w:tc>
        <w:tc>
          <w:tcPr>
            <w:tcW w:w="949" w:type="dxa"/>
            <w:vAlign w:val="center"/>
            <w:hideMark/>
          </w:tcPr>
          <w:p w14:paraId="11F68688" w14:textId="219935E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26,6</w:t>
            </w:r>
          </w:p>
        </w:tc>
        <w:tc>
          <w:tcPr>
            <w:tcW w:w="949" w:type="dxa"/>
            <w:vAlign w:val="center"/>
            <w:hideMark/>
          </w:tcPr>
          <w:p w14:paraId="3993C847" w14:textId="70ED5C2C"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27,3</w:t>
            </w:r>
          </w:p>
        </w:tc>
        <w:tc>
          <w:tcPr>
            <w:tcW w:w="949" w:type="dxa"/>
            <w:vAlign w:val="center"/>
            <w:hideMark/>
          </w:tcPr>
          <w:p w14:paraId="75772076" w14:textId="618A9F88"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27,9</w:t>
            </w:r>
          </w:p>
        </w:tc>
      </w:tr>
      <w:tr w:rsidR="00FB26A6" w:rsidRPr="00FB26A6" w14:paraId="4D950159" w14:textId="77777777" w:rsidTr="000F13F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0C0D28B1" w14:textId="77777777" w:rsidR="00FB26A6" w:rsidRPr="00FB26A6" w:rsidRDefault="00FB26A6" w:rsidP="00FB26A6">
            <w:pPr>
              <w:pStyle w:val="Tabelid"/>
            </w:pPr>
            <w:r w:rsidRPr="00FB26A6">
              <w:t>2. SKP nominaalkasv</w:t>
            </w:r>
          </w:p>
        </w:tc>
        <w:tc>
          <w:tcPr>
            <w:tcW w:w="1064" w:type="dxa"/>
            <w:vAlign w:val="center"/>
          </w:tcPr>
          <w:p w14:paraId="6FDEC9B7" w14:textId="77157B2A"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6,5</w:t>
            </w:r>
          </w:p>
        </w:tc>
        <w:tc>
          <w:tcPr>
            <w:tcW w:w="948" w:type="dxa"/>
            <w:vAlign w:val="center"/>
          </w:tcPr>
          <w:p w14:paraId="50ED7341" w14:textId="6AD06200"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13,6</w:t>
            </w:r>
          </w:p>
        </w:tc>
        <w:tc>
          <w:tcPr>
            <w:tcW w:w="949" w:type="dxa"/>
            <w:vAlign w:val="center"/>
            <w:hideMark/>
          </w:tcPr>
          <w:p w14:paraId="406B7588" w14:textId="2D6355A4"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15,5</w:t>
            </w:r>
          </w:p>
        </w:tc>
        <w:tc>
          <w:tcPr>
            <w:tcW w:w="949" w:type="dxa"/>
            <w:vAlign w:val="center"/>
            <w:hideMark/>
          </w:tcPr>
          <w:p w14:paraId="7588B1FA" w14:textId="67D3655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7,7</w:t>
            </w:r>
          </w:p>
        </w:tc>
        <w:tc>
          <w:tcPr>
            <w:tcW w:w="948" w:type="dxa"/>
            <w:vAlign w:val="center"/>
            <w:hideMark/>
          </w:tcPr>
          <w:p w14:paraId="1820C047" w14:textId="60E1EB0B"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6,8</w:t>
            </w:r>
          </w:p>
        </w:tc>
        <w:tc>
          <w:tcPr>
            <w:tcW w:w="949" w:type="dxa"/>
            <w:vAlign w:val="center"/>
            <w:hideMark/>
          </w:tcPr>
          <w:p w14:paraId="3B7D3265" w14:textId="498A0E20"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5,5</w:t>
            </w:r>
          </w:p>
        </w:tc>
        <w:tc>
          <w:tcPr>
            <w:tcW w:w="949" w:type="dxa"/>
            <w:vAlign w:val="center"/>
            <w:hideMark/>
          </w:tcPr>
          <w:p w14:paraId="4D0314EC" w14:textId="2C9AE091"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4,8</w:t>
            </w:r>
          </w:p>
        </w:tc>
        <w:tc>
          <w:tcPr>
            <w:tcW w:w="949" w:type="dxa"/>
            <w:vAlign w:val="center"/>
            <w:hideMark/>
          </w:tcPr>
          <w:p w14:paraId="0A467F79" w14:textId="11668E62"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4,4</w:t>
            </w:r>
          </w:p>
        </w:tc>
      </w:tr>
      <w:tr w:rsidR="00FB26A6" w:rsidRPr="00FB26A6" w14:paraId="2A54ED19" w14:textId="77777777" w:rsidTr="000F13F8">
        <w:trPr>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68619C9B" w14:textId="77777777" w:rsidR="00FB26A6" w:rsidRPr="00FB26A6" w:rsidRDefault="00FB26A6" w:rsidP="00FB26A6">
            <w:pPr>
              <w:pStyle w:val="Tabelid"/>
            </w:pPr>
            <w:r w:rsidRPr="00FB26A6">
              <w:t>2a. SKP jooksevhindades (mld eurot)</w:t>
            </w:r>
          </w:p>
        </w:tc>
        <w:tc>
          <w:tcPr>
            <w:tcW w:w="1064" w:type="dxa"/>
            <w:vAlign w:val="center"/>
          </w:tcPr>
          <w:p w14:paraId="03C1C805" w14:textId="59DC05BC"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8" w:type="dxa"/>
            <w:vAlign w:val="center"/>
          </w:tcPr>
          <w:p w14:paraId="3C2315E6" w14:textId="49AFBB7B"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31,2</w:t>
            </w:r>
          </w:p>
        </w:tc>
        <w:tc>
          <w:tcPr>
            <w:tcW w:w="949" w:type="dxa"/>
            <w:vAlign w:val="center"/>
            <w:hideMark/>
          </w:tcPr>
          <w:p w14:paraId="290BE73B" w14:textId="35EC503A"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36,0</w:t>
            </w:r>
          </w:p>
        </w:tc>
        <w:tc>
          <w:tcPr>
            <w:tcW w:w="949" w:type="dxa"/>
            <w:vAlign w:val="center"/>
            <w:hideMark/>
          </w:tcPr>
          <w:p w14:paraId="48B291A2" w14:textId="1E53D9C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38,8</w:t>
            </w:r>
          </w:p>
        </w:tc>
        <w:tc>
          <w:tcPr>
            <w:tcW w:w="948" w:type="dxa"/>
            <w:vAlign w:val="center"/>
            <w:hideMark/>
          </w:tcPr>
          <w:p w14:paraId="0589CD78" w14:textId="621E060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41,4</w:t>
            </w:r>
          </w:p>
        </w:tc>
        <w:tc>
          <w:tcPr>
            <w:tcW w:w="949" w:type="dxa"/>
            <w:vAlign w:val="center"/>
            <w:hideMark/>
          </w:tcPr>
          <w:p w14:paraId="129C315D" w14:textId="248AAA2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43,7</w:t>
            </w:r>
          </w:p>
        </w:tc>
        <w:tc>
          <w:tcPr>
            <w:tcW w:w="949" w:type="dxa"/>
            <w:vAlign w:val="center"/>
            <w:hideMark/>
          </w:tcPr>
          <w:p w14:paraId="0D1E7C2E" w14:textId="169DD35C"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45,8</w:t>
            </w:r>
          </w:p>
        </w:tc>
        <w:tc>
          <w:tcPr>
            <w:tcW w:w="949" w:type="dxa"/>
            <w:vAlign w:val="center"/>
            <w:hideMark/>
          </w:tcPr>
          <w:p w14:paraId="658E9772" w14:textId="1740F0B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47,9</w:t>
            </w:r>
          </w:p>
        </w:tc>
      </w:tr>
      <w:tr w:rsidR="00FB26A6" w:rsidRPr="00FB26A6" w14:paraId="77429E59" w14:textId="77777777" w:rsidTr="000F13F8">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17189527" w14:textId="77777777" w:rsidR="00FB26A6" w:rsidRPr="00FB26A6" w:rsidRDefault="00FB26A6" w:rsidP="00FB26A6">
            <w:pPr>
              <w:pStyle w:val="Tabelid"/>
            </w:pPr>
            <w:r w:rsidRPr="00FB26A6">
              <w:t>2b. RKP jooksevhindades (mld eurot)</w:t>
            </w:r>
          </w:p>
        </w:tc>
        <w:tc>
          <w:tcPr>
            <w:tcW w:w="1064" w:type="dxa"/>
            <w:vAlign w:val="center"/>
          </w:tcPr>
          <w:p w14:paraId="251EAE12" w14:textId="2B5B376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8" w:type="dxa"/>
            <w:vAlign w:val="center"/>
          </w:tcPr>
          <w:p w14:paraId="2508A528" w14:textId="32B775B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30,7</w:t>
            </w:r>
          </w:p>
        </w:tc>
        <w:tc>
          <w:tcPr>
            <w:tcW w:w="949" w:type="dxa"/>
            <w:vAlign w:val="center"/>
            <w:hideMark/>
          </w:tcPr>
          <w:p w14:paraId="57B4C759" w14:textId="764A280B"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35,1</w:t>
            </w:r>
          </w:p>
        </w:tc>
        <w:tc>
          <w:tcPr>
            <w:tcW w:w="949" w:type="dxa"/>
            <w:vAlign w:val="center"/>
            <w:hideMark/>
          </w:tcPr>
          <w:p w14:paraId="4D5076AD" w14:textId="11A4451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38,1</w:t>
            </w:r>
          </w:p>
        </w:tc>
        <w:tc>
          <w:tcPr>
            <w:tcW w:w="948" w:type="dxa"/>
            <w:vAlign w:val="center"/>
            <w:hideMark/>
          </w:tcPr>
          <w:p w14:paraId="22E5A06B" w14:textId="0D043D8F"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40,6</w:t>
            </w:r>
          </w:p>
        </w:tc>
        <w:tc>
          <w:tcPr>
            <w:tcW w:w="949" w:type="dxa"/>
            <w:vAlign w:val="center"/>
            <w:hideMark/>
          </w:tcPr>
          <w:p w14:paraId="5E47ECFB" w14:textId="654FD78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42,8</w:t>
            </w:r>
          </w:p>
        </w:tc>
        <w:tc>
          <w:tcPr>
            <w:tcW w:w="949" w:type="dxa"/>
            <w:vAlign w:val="center"/>
            <w:hideMark/>
          </w:tcPr>
          <w:p w14:paraId="085B374C" w14:textId="69A6A360"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44,9</w:t>
            </w:r>
          </w:p>
        </w:tc>
        <w:tc>
          <w:tcPr>
            <w:tcW w:w="949" w:type="dxa"/>
            <w:vAlign w:val="center"/>
            <w:hideMark/>
          </w:tcPr>
          <w:p w14:paraId="2E65177B" w14:textId="1B97064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46,8</w:t>
            </w:r>
          </w:p>
        </w:tc>
      </w:tr>
      <w:tr w:rsidR="000F13F8" w:rsidRPr="00FB26A6" w14:paraId="7149570A" w14:textId="77777777" w:rsidTr="000F13F8">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51C1C646" w14:textId="77777777" w:rsidR="000F13F8" w:rsidRPr="00FB26A6" w:rsidRDefault="000F13F8" w:rsidP="000F13F8">
            <w:pPr>
              <w:pStyle w:val="Tabelid"/>
            </w:pPr>
            <w:r w:rsidRPr="00FB26A6">
              <w:t>Kasvuallikad</w:t>
            </w:r>
          </w:p>
        </w:tc>
        <w:tc>
          <w:tcPr>
            <w:tcW w:w="1064" w:type="dxa"/>
            <w:vAlign w:val="center"/>
          </w:tcPr>
          <w:p w14:paraId="11E054B5" w14:textId="5C4E4A87"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8" w:type="dxa"/>
            <w:vAlign w:val="center"/>
          </w:tcPr>
          <w:p w14:paraId="661E5F18" w14:textId="428E074B"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9" w:type="dxa"/>
            <w:vAlign w:val="center"/>
            <w:hideMark/>
          </w:tcPr>
          <w:p w14:paraId="36331687" w14:textId="5DBA9173"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9" w:type="dxa"/>
            <w:vAlign w:val="center"/>
            <w:hideMark/>
          </w:tcPr>
          <w:p w14:paraId="60F407B7" w14:textId="596AD460"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8" w:type="dxa"/>
            <w:vAlign w:val="center"/>
            <w:hideMark/>
          </w:tcPr>
          <w:p w14:paraId="0CD8ED0C" w14:textId="72623A6B"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9" w:type="dxa"/>
            <w:vAlign w:val="center"/>
            <w:hideMark/>
          </w:tcPr>
          <w:p w14:paraId="790A989B" w14:textId="3D680904"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9" w:type="dxa"/>
            <w:vAlign w:val="center"/>
            <w:hideMark/>
          </w:tcPr>
          <w:p w14:paraId="268D7BCE" w14:textId="5B2EB8E4"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c>
          <w:tcPr>
            <w:tcW w:w="949" w:type="dxa"/>
            <w:vAlign w:val="center"/>
            <w:hideMark/>
          </w:tcPr>
          <w:p w14:paraId="1CD34D4D" w14:textId="2A77E5E3" w:rsidR="000F13F8" w:rsidRPr="00FB26A6" w:rsidRDefault="000F13F8" w:rsidP="000F13F8">
            <w:pPr>
              <w:pStyle w:val="Tabelid"/>
              <w:jc w:val="right"/>
              <w:cnfStyle w:val="000000000000" w:firstRow="0" w:lastRow="0" w:firstColumn="0" w:lastColumn="0" w:oddVBand="0" w:evenVBand="0" w:oddHBand="0" w:evenHBand="0" w:firstRowFirstColumn="0" w:firstRowLastColumn="0" w:lastRowFirstColumn="0" w:lastRowLastColumn="0"/>
            </w:pPr>
            <w:r w:rsidRPr="00FB26A6">
              <w:t> </w:t>
            </w:r>
          </w:p>
        </w:tc>
      </w:tr>
      <w:tr w:rsidR="00FB26A6" w:rsidRPr="00FB26A6" w14:paraId="103EEC7A" w14:textId="77777777" w:rsidTr="000F13F8">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259D1332" w14:textId="77777777" w:rsidR="00FB26A6" w:rsidRPr="00FB26A6" w:rsidRDefault="00FB26A6" w:rsidP="00FB26A6">
            <w:pPr>
              <w:pStyle w:val="Tabelid"/>
            </w:pPr>
            <w:r w:rsidRPr="00FB26A6">
              <w:t>3. Eratarbimiskulutused (sh MTÜd)</w:t>
            </w:r>
          </w:p>
        </w:tc>
        <w:tc>
          <w:tcPr>
            <w:tcW w:w="1064" w:type="dxa"/>
            <w:vAlign w:val="center"/>
          </w:tcPr>
          <w:p w14:paraId="15F622AF" w14:textId="71FEA5F7"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3,3</w:t>
            </w:r>
          </w:p>
        </w:tc>
        <w:tc>
          <w:tcPr>
            <w:tcW w:w="948" w:type="dxa"/>
            <w:vAlign w:val="center"/>
          </w:tcPr>
          <w:p w14:paraId="1E9D4BEC" w14:textId="05829B82"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9,3</w:t>
            </w:r>
          </w:p>
        </w:tc>
        <w:tc>
          <w:tcPr>
            <w:tcW w:w="949" w:type="dxa"/>
            <w:vAlign w:val="center"/>
            <w:hideMark/>
          </w:tcPr>
          <w:p w14:paraId="137666FE" w14:textId="20D55D81"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2,3</w:t>
            </w:r>
          </w:p>
        </w:tc>
        <w:tc>
          <w:tcPr>
            <w:tcW w:w="949" w:type="dxa"/>
            <w:vAlign w:val="center"/>
            <w:hideMark/>
          </w:tcPr>
          <w:p w14:paraId="4059D1F9" w14:textId="6BE4512F"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0,0</w:t>
            </w:r>
          </w:p>
        </w:tc>
        <w:tc>
          <w:tcPr>
            <w:tcW w:w="948" w:type="dxa"/>
            <w:vAlign w:val="center"/>
            <w:hideMark/>
          </w:tcPr>
          <w:p w14:paraId="50D92408" w14:textId="1B9FC0C1"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1,5</w:t>
            </w:r>
          </w:p>
        </w:tc>
        <w:tc>
          <w:tcPr>
            <w:tcW w:w="949" w:type="dxa"/>
            <w:vAlign w:val="center"/>
            <w:hideMark/>
          </w:tcPr>
          <w:p w14:paraId="35483A4C" w14:textId="0C1D6696"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4,5</w:t>
            </w:r>
          </w:p>
        </w:tc>
        <w:tc>
          <w:tcPr>
            <w:tcW w:w="949" w:type="dxa"/>
            <w:vAlign w:val="center"/>
            <w:hideMark/>
          </w:tcPr>
          <w:p w14:paraId="2EF144F6" w14:textId="0101CB2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1,3</w:t>
            </w:r>
          </w:p>
        </w:tc>
        <w:tc>
          <w:tcPr>
            <w:tcW w:w="949" w:type="dxa"/>
            <w:vAlign w:val="center"/>
            <w:hideMark/>
          </w:tcPr>
          <w:p w14:paraId="78EF528D" w14:textId="4B5436D6"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2,1</w:t>
            </w:r>
          </w:p>
        </w:tc>
      </w:tr>
      <w:tr w:rsidR="00FB26A6" w:rsidRPr="00FB26A6" w14:paraId="42EDD379" w14:textId="77777777" w:rsidTr="000F13F8">
        <w:trPr>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5902C488" w14:textId="77777777" w:rsidR="00FB26A6" w:rsidRPr="00FB26A6" w:rsidRDefault="00FB26A6" w:rsidP="00FB26A6">
            <w:pPr>
              <w:pStyle w:val="Tabelid"/>
            </w:pPr>
            <w:r w:rsidRPr="00FB26A6">
              <w:t>4. Valitsussektori lõpp</w:t>
            </w:r>
            <w:r w:rsidRPr="00FB26A6">
              <w:softHyphen/>
              <w:t>tarbimis</w:t>
            </w:r>
            <w:r w:rsidRPr="00FB26A6">
              <w:softHyphen/>
              <w:t>kulutused</w:t>
            </w:r>
          </w:p>
        </w:tc>
        <w:tc>
          <w:tcPr>
            <w:tcW w:w="1064" w:type="dxa"/>
            <w:vAlign w:val="center"/>
          </w:tcPr>
          <w:p w14:paraId="5A3A88CB" w14:textId="41839D18"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2,1</w:t>
            </w:r>
          </w:p>
        </w:tc>
        <w:tc>
          <w:tcPr>
            <w:tcW w:w="948" w:type="dxa"/>
            <w:vAlign w:val="center"/>
          </w:tcPr>
          <w:p w14:paraId="129EC976" w14:textId="1CFC890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3,8</w:t>
            </w:r>
          </w:p>
        </w:tc>
        <w:tc>
          <w:tcPr>
            <w:tcW w:w="949" w:type="dxa"/>
            <w:vAlign w:val="center"/>
            <w:hideMark/>
          </w:tcPr>
          <w:p w14:paraId="70A3750D" w14:textId="46B033C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0,1</w:t>
            </w:r>
          </w:p>
        </w:tc>
        <w:tc>
          <w:tcPr>
            <w:tcW w:w="949" w:type="dxa"/>
            <w:vAlign w:val="center"/>
            <w:hideMark/>
          </w:tcPr>
          <w:p w14:paraId="49CE74F9" w14:textId="676EABE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2,3</w:t>
            </w:r>
          </w:p>
        </w:tc>
        <w:tc>
          <w:tcPr>
            <w:tcW w:w="948" w:type="dxa"/>
            <w:vAlign w:val="center"/>
            <w:hideMark/>
          </w:tcPr>
          <w:p w14:paraId="106A5B09" w14:textId="69B02AA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0,0</w:t>
            </w:r>
          </w:p>
        </w:tc>
        <w:tc>
          <w:tcPr>
            <w:tcW w:w="949" w:type="dxa"/>
            <w:vAlign w:val="center"/>
            <w:hideMark/>
          </w:tcPr>
          <w:p w14:paraId="5B33354B" w14:textId="5F8AFA5C"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0,5</w:t>
            </w:r>
          </w:p>
        </w:tc>
        <w:tc>
          <w:tcPr>
            <w:tcW w:w="949" w:type="dxa"/>
            <w:vAlign w:val="center"/>
            <w:hideMark/>
          </w:tcPr>
          <w:p w14:paraId="569073F5" w14:textId="113B2840"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0,0</w:t>
            </w:r>
          </w:p>
        </w:tc>
        <w:tc>
          <w:tcPr>
            <w:tcW w:w="949" w:type="dxa"/>
            <w:vAlign w:val="center"/>
            <w:hideMark/>
          </w:tcPr>
          <w:p w14:paraId="7EBD658D" w14:textId="4E297061"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0,2</w:t>
            </w:r>
          </w:p>
        </w:tc>
      </w:tr>
      <w:tr w:rsidR="00FB26A6" w:rsidRPr="00FB26A6" w14:paraId="33547AD9" w14:textId="77777777" w:rsidTr="000F13F8">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38D6AF89" w14:textId="77777777" w:rsidR="00FB26A6" w:rsidRPr="00FB26A6" w:rsidRDefault="00FB26A6" w:rsidP="00FB26A6">
            <w:pPr>
              <w:pStyle w:val="Tabelid"/>
            </w:pPr>
            <w:r w:rsidRPr="00FB26A6">
              <w:t>5. Kapitali kogumahutus põhivarasse</w:t>
            </w:r>
          </w:p>
        </w:tc>
        <w:tc>
          <w:tcPr>
            <w:tcW w:w="1064" w:type="dxa"/>
            <w:vAlign w:val="center"/>
          </w:tcPr>
          <w:p w14:paraId="1F18E7CC" w14:textId="0AB9FA4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9,0</w:t>
            </w:r>
          </w:p>
        </w:tc>
        <w:tc>
          <w:tcPr>
            <w:tcW w:w="948" w:type="dxa"/>
            <w:vAlign w:val="center"/>
          </w:tcPr>
          <w:p w14:paraId="19814C76" w14:textId="1D20975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7,3</w:t>
            </w:r>
          </w:p>
        </w:tc>
        <w:tc>
          <w:tcPr>
            <w:tcW w:w="949" w:type="dxa"/>
            <w:vAlign w:val="center"/>
            <w:hideMark/>
          </w:tcPr>
          <w:p w14:paraId="105F0C0F" w14:textId="63EC9A34"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-3,7</w:t>
            </w:r>
          </w:p>
        </w:tc>
        <w:tc>
          <w:tcPr>
            <w:tcW w:w="949" w:type="dxa"/>
            <w:vAlign w:val="center"/>
            <w:hideMark/>
          </w:tcPr>
          <w:p w14:paraId="295E4FFA" w14:textId="0C37C16F"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-2,1</w:t>
            </w:r>
          </w:p>
        </w:tc>
        <w:tc>
          <w:tcPr>
            <w:tcW w:w="948" w:type="dxa"/>
            <w:vAlign w:val="center"/>
            <w:hideMark/>
          </w:tcPr>
          <w:p w14:paraId="222EE9F6" w14:textId="110824E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3,1</w:t>
            </w:r>
          </w:p>
        </w:tc>
        <w:tc>
          <w:tcPr>
            <w:tcW w:w="949" w:type="dxa"/>
            <w:vAlign w:val="center"/>
            <w:hideMark/>
          </w:tcPr>
          <w:p w14:paraId="7CD2486C" w14:textId="2A17998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3,9</w:t>
            </w:r>
          </w:p>
        </w:tc>
        <w:tc>
          <w:tcPr>
            <w:tcW w:w="949" w:type="dxa"/>
            <w:vAlign w:val="center"/>
            <w:hideMark/>
          </w:tcPr>
          <w:p w14:paraId="2A315112" w14:textId="0341AB41"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6,4</w:t>
            </w:r>
          </w:p>
        </w:tc>
        <w:tc>
          <w:tcPr>
            <w:tcW w:w="949" w:type="dxa"/>
            <w:vAlign w:val="center"/>
            <w:hideMark/>
          </w:tcPr>
          <w:p w14:paraId="40FFE081" w14:textId="67AB9E6E"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1,4</w:t>
            </w:r>
          </w:p>
        </w:tc>
      </w:tr>
      <w:tr w:rsidR="00FB26A6" w:rsidRPr="00FB26A6" w14:paraId="007F8C0B" w14:textId="77777777" w:rsidTr="000F13F8">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4AF9A355" w14:textId="77777777" w:rsidR="00FB26A6" w:rsidRPr="00FB26A6" w:rsidRDefault="00FB26A6" w:rsidP="00FB26A6">
            <w:pPr>
              <w:pStyle w:val="Tabelid"/>
            </w:pPr>
            <w:r w:rsidRPr="00FB26A6">
              <w:t>6. Sisenõudlus</w:t>
            </w:r>
          </w:p>
        </w:tc>
        <w:tc>
          <w:tcPr>
            <w:tcW w:w="1064" w:type="dxa"/>
            <w:vAlign w:val="center"/>
          </w:tcPr>
          <w:p w14:paraId="65FBDF2D" w14:textId="4E90723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4,5</w:t>
            </w:r>
          </w:p>
        </w:tc>
        <w:tc>
          <w:tcPr>
            <w:tcW w:w="948" w:type="dxa"/>
            <w:vAlign w:val="center"/>
          </w:tcPr>
          <w:p w14:paraId="0AAD9F63" w14:textId="59A12030"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9,6</w:t>
            </w:r>
          </w:p>
        </w:tc>
        <w:tc>
          <w:tcPr>
            <w:tcW w:w="949" w:type="dxa"/>
            <w:vAlign w:val="center"/>
            <w:hideMark/>
          </w:tcPr>
          <w:p w14:paraId="41C84ADE" w14:textId="2015099B"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1,0</w:t>
            </w:r>
          </w:p>
        </w:tc>
        <w:tc>
          <w:tcPr>
            <w:tcW w:w="949" w:type="dxa"/>
            <w:vAlign w:val="center"/>
            <w:hideMark/>
          </w:tcPr>
          <w:p w14:paraId="3BECFF70" w14:textId="3B5B5D0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-2,4</w:t>
            </w:r>
          </w:p>
        </w:tc>
        <w:tc>
          <w:tcPr>
            <w:tcW w:w="948" w:type="dxa"/>
            <w:vAlign w:val="center"/>
            <w:hideMark/>
          </w:tcPr>
          <w:p w14:paraId="0E104EE5" w14:textId="64BE9DE0"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1,4</w:t>
            </w:r>
          </w:p>
        </w:tc>
        <w:tc>
          <w:tcPr>
            <w:tcW w:w="949" w:type="dxa"/>
            <w:vAlign w:val="center"/>
            <w:hideMark/>
          </w:tcPr>
          <w:p w14:paraId="22AF6D8D" w14:textId="5709E0C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3,5</w:t>
            </w:r>
          </w:p>
        </w:tc>
        <w:tc>
          <w:tcPr>
            <w:tcW w:w="949" w:type="dxa"/>
            <w:vAlign w:val="center"/>
            <w:hideMark/>
          </w:tcPr>
          <w:p w14:paraId="3F0A8334" w14:textId="067C3648"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2,4</w:t>
            </w:r>
          </w:p>
        </w:tc>
        <w:tc>
          <w:tcPr>
            <w:tcW w:w="949" w:type="dxa"/>
            <w:vAlign w:val="center"/>
            <w:hideMark/>
          </w:tcPr>
          <w:p w14:paraId="11583896" w14:textId="05F31844"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1,6</w:t>
            </w:r>
          </w:p>
        </w:tc>
      </w:tr>
      <w:tr w:rsidR="00FB26A6" w:rsidRPr="00FB26A6" w14:paraId="1085FC39" w14:textId="77777777" w:rsidTr="000F13F8">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382C224A" w14:textId="77777777" w:rsidR="00FB26A6" w:rsidRPr="00FB26A6" w:rsidRDefault="00FB26A6" w:rsidP="00FB26A6">
            <w:pPr>
              <w:pStyle w:val="Tabelid"/>
            </w:pPr>
            <w:r w:rsidRPr="00FB26A6">
              <w:t>7. Kaupade ja teenuste eksport</w:t>
            </w:r>
          </w:p>
        </w:tc>
        <w:tc>
          <w:tcPr>
            <w:tcW w:w="1064" w:type="dxa"/>
            <w:vAlign w:val="center"/>
          </w:tcPr>
          <w:p w14:paraId="102C55BE" w14:textId="669E4DB0"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4,5</w:t>
            </w:r>
          </w:p>
        </w:tc>
        <w:tc>
          <w:tcPr>
            <w:tcW w:w="948" w:type="dxa"/>
            <w:vAlign w:val="center"/>
          </w:tcPr>
          <w:p w14:paraId="0FE20556" w14:textId="339E58F1"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22,1</w:t>
            </w:r>
          </w:p>
        </w:tc>
        <w:tc>
          <w:tcPr>
            <w:tcW w:w="949" w:type="dxa"/>
            <w:vAlign w:val="center"/>
            <w:hideMark/>
          </w:tcPr>
          <w:p w14:paraId="6CF36744" w14:textId="568A249F"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3,0</w:t>
            </w:r>
          </w:p>
        </w:tc>
        <w:tc>
          <w:tcPr>
            <w:tcW w:w="949" w:type="dxa"/>
            <w:vAlign w:val="center"/>
            <w:hideMark/>
          </w:tcPr>
          <w:p w14:paraId="50CD904A" w14:textId="342942E0"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-4,2</w:t>
            </w:r>
          </w:p>
        </w:tc>
        <w:tc>
          <w:tcPr>
            <w:tcW w:w="948" w:type="dxa"/>
            <w:vAlign w:val="center"/>
            <w:hideMark/>
          </w:tcPr>
          <w:p w14:paraId="792558FF" w14:textId="081DB33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2,9</w:t>
            </w:r>
          </w:p>
        </w:tc>
        <w:tc>
          <w:tcPr>
            <w:tcW w:w="949" w:type="dxa"/>
            <w:vAlign w:val="center"/>
            <w:hideMark/>
          </w:tcPr>
          <w:p w14:paraId="28D420FB" w14:textId="5A6AC2C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3,4</w:t>
            </w:r>
          </w:p>
        </w:tc>
        <w:tc>
          <w:tcPr>
            <w:tcW w:w="949" w:type="dxa"/>
            <w:vAlign w:val="center"/>
            <w:hideMark/>
          </w:tcPr>
          <w:p w14:paraId="6D01F7DA" w14:textId="45A63B31"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3,2</w:t>
            </w:r>
          </w:p>
        </w:tc>
        <w:tc>
          <w:tcPr>
            <w:tcW w:w="949" w:type="dxa"/>
            <w:vAlign w:val="center"/>
            <w:hideMark/>
          </w:tcPr>
          <w:p w14:paraId="7F8E48A6" w14:textId="6055B3EB"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3,0</w:t>
            </w:r>
          </w:p>
        </w:tc>
      </w:tr>
      <w:tr w:rsidR="00FB26A6" w:rsidRPr="00FB26A6" w14:paraId="3B172C07" w14:textId="77777777" w:rsidTr="000F13F8">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7F29CA2E" w14:textId="77777777" w:rsidR="00FB26A6" w:rsidRPr="00FB26A6" w:rsidRDefault="00FB26A6" w:rsidP="00FB26A6">
            <w:pPr>
              <w:pStyle w:val="Tabelid"/>
            </w:pPr>
            <w:r w:rsidRPr="00FB26A6">
              <w:t>8. Kaupade ja teenuste import</w:t>
            </w:r>
          </w:p>
        </w:tc>
        <w:tc>
          <w:tcPr>
            <w:tcW w:w="1064" w:type="dxa"/>
            <w:vAlign w:val="center"/>
          </w:tcPr>
          <w:p w14:paraId="013E3EC0" w14:textId="16EB79FA"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6,2</w:t>
            </w:r>
          </w:p>
        </w:tc>
        <w:tc>
          <w:tcPr>
            <w:tcW w:w="948" w:type="dxa"/>
            <w:vAlign w:val="center"/>
          </w:tcPr>
          <w:p w14:paraId="4BF9FEED" w14:textId="0EAD224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23,2</w:t>
            </w:r>
          </w:p>
        </w:tc>
        <w:tc>
          <w:tcPr>
            <w:tcW w:w="949" w:type="dxa"/>
            <w:vAlign w:val="center"/>
            <w:hideMark/>
          </w:tcPr>
          <w:p w14:paraId="50B5A643" w14:textId="40717A8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3,2</w:t>
            </w:r>
          </w:p>
        </w:tc>
        <w:tc>
          <w:tcPr>
            <w:tcW w:w="949" w:type="dxa"/>
            <w:vAlign w:val="center"/>
            <w:hideMark/>
          </w:tcPr>
          <w:p w14:paraId="63B82750" w14:textId="6DBC2C7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-4,7</w:t>
            </w:r>
          </w:p>
        </w:tc>
        <w:tc>
          <w:tcPr>
            <w:tcW w:w="948" w:type="dxa"/>
            <w:vAlign w:val="center"/>
            <w:hideMark/>
          </w:tcPr>
          <w:p w14:paraId="2AC91323" w14:textId="63B307A4"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1,4</w:t>
            </w:r>
          </w:p>
        </w:tc>
        <w:tc>
          <w:tcPr>
            <w:tcW w:w="949" w:type="dxa"/>
            <w:vAlign w:val="center"/>
            <w:hideMark/>
          </w:tcPr>
          <w:p w14:paraId="7EEFEED7" w14:textId="35A9EF7F"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4,2</w:t>
            </w:r>
          </w:p>
        </w:tc>
        <w:tc>
          <w:tcPr>
            <w:tcW w:w="949" w:type="dxa"/>
            <w:vAlign w:val="center"/>
            <w:hideMark/>
          </w:tcPr>
          <w:p w14:paraId="55AAB919" w14:textId="195794A4"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3,0</w:t>
            </w:r>
          </w:p>
        </w:tc>
        <w:tc>
          <w:tcPr>
            <w:tcW w:w="949" w:type="dxa"/>
            <w:vAlign w:val="center"/>
            <w:hideMark/>
          </w:tcPr>
          <w:p w14:paraId="118BCBD4" w14:textId="7E8357B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2,2</w:t>
            </w:r>
          </w:p>
        </w:tc>
      </w:tr>
      <w:tr w:rsidR="000F13F8" w:rsidRPr="00FB26A6" w14:paraId="53D7E4FE" w14:textId="77777777" w:rsidTr="000F13F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0300E23C" w14:textId="77777777" w:rsidR="000F13F8" w:rsidRPr="00FB26A6" w:rsidRDefault="000F13F8" w:rsidP="000F13F8">
            <w:pPr>
              <w:pStyle w:val="Tabelid"/>
            </w:pPr>
            <w:r w:rsidRPr="00FB26A6">
              <w:t>Panus SKP kasvu</w:t>
            </w:r>
          </w:p>
        </w:tc>
        <w:tc>
          <w:tcPr>
            <w:tcW w:w="1064" w:type="dxa"/>
            <w:vAlign w:val="center"/>
          </w:tcPr>
          <w:p w14:paraId="53F3DB88" w14:textId="345EF186"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8" w:type="dxa"/>
            <w:vAlign w:val="center"/>
          </w:tcPr>
          <w:p w14:paraId="4D39D20A" w14:textId="39646FD5"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9" w:type="dxa"/>
            <w:vAlign w:val="center"/>
            <w:hideMark/>
          </w:tcPr>
          <w:p w14:paraId="3E3BAE1D" w14:textId="5D230329"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9" w:type="dxa"/>
            <w:vAlign w:val="center"/>
            <w:hideMark/>
          </w:tcPr>
          <w:p w14:paraId="12935845" w14:textId="233D325C"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8" w:type="dxa"/>
            <w:vAlign w:val="center"/>
            <w:hideMark/>
          </w:tcPr>
          <w:p w14:paraId="39ADF85A" w14:textId="7DC1AD90"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9" w:type="dxa"/>
            <w:vAlign w:val="center"/>
            <w:hideMark/>
          </w:tcPr>
          <w:p w14:paraId="621D71C1" w14:textId="0A2C6BB8"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9" w:type="dxa"/>
            <w:vAlign w:val="center"/>
            <w:hideMark/>
          </w:tcPr>
          <w:p w14:paraId="1EA1E9E2" w14:textId="652D35CD"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c>
          <w:tcPr>
            <w:tcW w:w="949" w:type="dxa"/>
            <w:vAlign w:val="center"/>
            <w:hideMark/>
          </w:tcPr>
          <w:p w14:paraId="449644BD" w14:textId="1275F003" w:rsidR="000F13F8" w:rsidRPr="00FB26A6" w:rsidRDefault="000F13F8" w:rsidP="000F13F8">
            <w:pPr>
              <w:pStyle w:val="Tabelid"/>
              <w:jc w:val="right"/>
              <w:cnfStyle w:val="000000100000" w:firstRow="0" w:lastRow="0" w:firstColumn="0" w:lastColumn="0" w:oddVBand="0" w:evenVBand="0" w:oddHBand="1" w:evenHBand="0" w:firstRowFirstColumn="0" w:firstRowLastColumn="0" w:lastRowFirstColumn="0" w:lastRowLastColumn="0"/>
            </w:pPr>
            <w:r w:rsidRPr="00FB26A6">
              <w:t> </w:t>
            </w:r>
          </w:p>
        </w:tc>
      </w:tr>
      <w:tr w:rsidR="00FB26A6" w:rsidRPr="00FB26A6" w14:paraId="6EB6FE9C" w14:textId="77777777" w:rsidTr="000F13F8">
        <w:trPr>
          <w:trHeight w:val="30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1C78D86A" w14:textId="77777777" w:rsidR="00FB26A6" w:rsidRPr="00FB26A6" w:rsidRDefault="00FB26A6" w:rsidP="00FB26A6">
            <w:pPr>
              <w:pStyle w:val="Tabelid"/>
            </w:pPr>
            <w:r w:rsidRPr="00FB26A6">
              <w:t>9. Sisemajanduse nõudlus</w:t>
            </w:r>
          </w:p>
        </w:tc>
        <w:tc>
          <w:tcPr>
            <w:tcW w:w="1064" w:type="dxa"/>
            <w:vAlign w:val="center"/>
          </w:tcPr>
          <w:p w14:paraId="631322D0" w14:textId="365350D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4,3</w:t>
            </w:r>
          </w:p>
        </w:tc>
        <w:tc>
          <w:tcPr>
            <w:tcW w:w="948" w:type="dxa"/>
            <w:vAlign w:val="center"/>
          </w:tcPr>
          <w:p w14:paraId="702B6A43" w14:textId="6445068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7,5</w:t>
            </w:r>
          </w:p>
        </w:tc>
        <w:tc>
          <w:tcPr>
            <w:tcW w:w="949" w:type="dxa"/>
            <w:vAlign w:val="center"/>
            <w:hideMark/>
          </w:tcPr>
          <w:p w14:paraId="4C989156" w14:textId="0868EE2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0,0</w:t>
            </w:r>
          </w:p>
        </w:tc>
        <w:tc>
          <w:tcPr>
            <w:tcW w:w="949" w:type="dxa"/>
            <w:vAlign w:val="center"/>
            <w:hideMark/>
          </w:tcPr>
          <w:p w14:paraId="140C79F8" w14:textId="760A731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-0,1</w:t>
            </w:r>
          </w:p>
        </w:tc>
        <w:tc>
          <w:tcPr>
            <w:tcW w:w="948" w:type="dxa"/>
            <w:vAlign w:val="center"/>
            <w:hideMark/>
          </w:tcPr>
          <w:p w14:paraId="3DAFDDE2" w14:textId="39F6F57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1,6</w:t>
            </w:r>
          </w:p>
        </w:tc>
        <w:tc>
          <w:tcPr>
            <w:tcW w:w="949" w:type="dxa"/>
            <w:vAlign w:val="center"/>
            <w:hideMark/>
          </w:tcPr>
          <w:p w14:paraId="1EE0092F" w14:textId="44C2DA73"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3,4</w:t>
            </w:r>
          </w:p>
        </w:tc>
        <w:tc>
          <w:tcPr>
            <w:tcW w:w="949" w:type="dxa"/>
            <w:vAlign w:val="center"/>
            <w:hideMark/>
          </w:tcPr>
          <w:p w14:paraId="13CD2100" w14:textId="6B52DC3B"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2,4</w:t>
            </w:r>
          </w:p>
        </w:tc>
        <w:tc>
          <w:tcPr>
            <w:tcW w:w="949" w:type="dxa"/>
            <w:vAlign w:val="center"/>
            <w:hideMark/>
          </w:tcPr>
          <w:p w14:paraId="3F77B712" w14:textId="4190AE7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1,5</w:t>
            </w:r>
          </w:p>
        </w:tc>
      </w:tr>
      <w:tr w:rsidR="00FB26A6" w:rsidRPr="00FB26A6" w14:paraId="334349B3" w14:textId="77777777" w:rsidTr="000F13F8">
        <w:trPr>
          <w:cnfStyle w:val="000000100000" w:firstRow="0" w:lastRow="0" w:firstColumn="0" w:lastColumn="0" w:oddVBand="0" w:evenVBand="0" w:oddHBand="1" w:evenHBand="0" w:firstRowFirstColumn="0" w:firstRowLastColumn="0" w:lastRowFirstColumn="0" w:lastRowLastColumn="0"/>
          <w:trHeight w:val="480"/>
          <w:jc w:val="center"/>
        </w:trPr>
        <w:tc>
          <w:tcPr>
            <w:cnfStyle w:val="001000000000" w:firstRow="0" w:lastRow="0" w:firstColumn="1" w:lastColumn="0" w:oddVBand="0" w:evenVBand="0" w:oddHBand="0" w:evenHBand="0" w:firstRowFirstColumn="0" w:firstRowLastColumn="0" w:lastRowFirstColumn="0" w:lastRowLastColumn="0"/>
            <w:tcW w:w="2338" w:type="dxa"/>
            <w:hideMark/>
          </w:tcPr>
          <w:p w14:paraId="7D52950A" w14:textId="77777777" w:rsidR="00FB26A6" w:rsidRPr="00FB26A6" w:rsidRDefault="00FB26A6" w:rsidP="00FB26A6">
            <w:pPr>
              <w:pStyle w:val="Tabelid"/>
            </w:pPr>
            <w:r w:rsidRPr="00FB26A6">
              <w:t>10. Kaupade ja teenuste bilanss</w:t>
            </w:r>
          </w:p>
        </w:tc>
        <w:tc>
          <w:tcPr>
            <w:tcW w:w="1064" w:type="dxa"/>
            <w:vAlign w:val="center"/>
          </w:tcPr>
          <w:p w14:paraId="642C8FE6" w14:textId="1916A79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-1,0</w:t>
            </w:r>
          </w:p>
        </w:tc>
        <w:tc>
          <w:tcPr>
            <w:tcW w:w="948" w:type="dxa"/>
            <w:vAlign w:val="center"/>
          </w:tcPr>
          <w:p w14:paraId="1C9960B8" w14:textId="429F33CA"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-0,9</w:t>
            </w:r>
          </w:p>
        </w:tc>
        <w:tc>
          <w:tcPr>
            <w:tcW w:w="949" w:type="dxa"/>
            <w:vAlign w:val="center"/>
            <w:hideMark/>
          </w:tcPr>
          <w:p w14:paraId="4320377A" w14:textId="459DC344"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-0,4</w:t>
            </w:r>
          </w:p>
        </w:tc>
        <w:tc>
          <w:tcPr>
            <w:tcW w:w="949" w:type="dxa"/>
            <w:vAlign w:val="center"/>
            <w:hideMark/>
          </w:tcPr>
          <w:p w14:paraId="45FD2BD8" w14:textId="7D4A1DB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0,4</w:t>
            </w:r>
          </w:p>
        </w:tc>
        <w:tc>
          <w:tcPr>
            <w:tcW w:w="948" w:type="dxa"/>
            <w:vAlign w:val="center"/>
            <w:hideMark/>
          </w:tcPr>
          <w:p w14:paraId="1C87E639" w14:textId="4C3463E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1,3</w:t>
            </w:r>
          </w:p>
        </w:tc>
        <w:tc>
          <w:tcPr>
            <w:tcW w:w="949" w:type="dxa"/>
            <w:vAlign w:val="center"/>
            <w:hideMark/>
          </w:tcPr>
          <w:p w14:paraId="2497C9A3" w14:textId="6BCE3AA6"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-0,5</w:t>
            </w:r>
          </w:p>
        </w:tc>
        <w:tc>
          <w:tcPr>
            <w:tcW w:w="949" w:type="dxa"/>
            <w:vAlign w:val="center"/>
            <w:hideMark/>
          </w:tcPr>
          <w:p w14:paraId="6E1F3D24" w14:textId="3E87C8F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0,2</w:t>
            </w:r>
          </w:p>
        </w:tc>
        <w:tc>
          <w:tcPr>
            <w:tcW w:w="949" w:type="dxa"/>
            <w:vAlign w:val="center"/>
            <w:hideMark/>
          </w:tcPr>
          <w:p w14:paraId="3F79807E" w14:textId="58CC49AB"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0,7</w:t>
            </w:r>
          </w:p>
        </w:tc>
      </w:tr>
      <w:tr w:rsidR="00865A14" w:rsidRPr="00FB26A6" w14:paraId="61701B2A" w14:textId="77777777" w:rsidTr="000F13F8">
        <w:trPr>
          <w:trHeight w:val="301"/>
          <w:jc w:val="center"/>
        </w:trPr>
        <w:tc>
          <w:tcPr>
            <w:cnfStyle w:val="001000000000" w:firstRow="0" w:lastRow="0" w:firstColumn="1" w:lastColumn="0" w:oddVBand="0" w:evenVBand="0" w:oddHBand="0" w:evenHBand="0" w:firstRowFirstColumn="0" w:firstRowLastColumn="0" w:lastRowFirstColumn="0" w:lastRowLastColumn="0"/>
            <w:tcW w:w="2338" w:type="dxa"/>
          </w:tcPr>
          <w:p w14:paraId="1547425A" w14:textId="4213EFAB" w:rsidR="00865A14" w:rsidRPr="00FB26A6" w:rsidRDefault="00865A14" w:rsidP="00865A14">
            <w:pPr>
              <w:pStyle w:val="Tabelid"/>
            </w:pPr>
            <w:r w:rsidRPr="00FB26A6">
              <w:t>Lisandväärtuse kasv</w:t>
            </w:r>
          </w:p>
        </w:tc>
        <w:tc>
          <w:tcPr>
            <w:tcW w:w="1064" w:type="dxa"/>
            <w:vAlign w:val="center"/>
          </w:tcPr>
          <w:p w14:paraId="69C920E1"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c>
          <w:tcPr>
            <w:tcW w:w="948" w:type="dxa"/>
            <w:vAlign w:val="center"/>
          </w:tcPr>
          <w:p w14:paraId="63FF3BB1"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tcPr>
          <w:p w14:paraId="51A1DAFA"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tcPr>
          <w:p w14:paraId="495A9551"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c>
          <w:tcPr>
            <w:tcW w:w="948" w:type="dxa"/>
            <w:vAlign w:val="center"/>
          </w:tcPr>
          <w:p w14:paraId="331F1EDE"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tcPr>
          <w:p w14:paraId="4BEFE757"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tcPr>
          <w:p w14:paraId="4D8AD364"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c>
          <w:tcPr>
            <w:tcW w:w="949" w:type="dxa"/>
            <w:vAlign w:val="center"/>
          </w:tcPr>
          <w:p w14:paraId="61DC748C" w14:textId="77777777" w:rsidR="00865A14" w:rsidRPr="00FB26A6" w:rsidRDefault="00865A14" w:rsidP="00865A14">
            <w:pPr>
              <w:pStyle w:val="Tabelid"/>
              <w:jc w:val="right"/>
              <w:cnfStyle w:val="000000000000" w:firstRow="0" w:lastRow="0" w:firstColumn="0" w:lastColumn="0" w:oddVBand="0" w:evenVBand="0" w:oddHBand="0" w:evenHBand="0" w:firstRowFirstColumn="0" w:firstRowLastColumn="0" w:lastRowFirstColumn="0" w:lastRowLastColumn="0"/>
            </w:pPr>
          </w:p>
        </w:tc>
      </w:tr>
      <w:tr w:rsidR="00FB26A6" w:rsidRPr="00FB26A6" w14:paraId="61404281" w14:textId="77777777" w:rsidTr="000F13F8">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2338" w:type="dxa"/>
          </w:tcPr>
          <w:p w14:paraId="084ADDCD" w14:textId="11DE573A" w:rsidR="00FB26A6" w:rsidRPr="00FB26A6" w:rsidRDefault="00FB26A6" w:rsidP="00FB26A6">
            <w:pPr>
              <w:pStyle w:val="Tabelid"/>
            </w:pPr>
            <w:r w:rsidRPr="00FB26A6">
              <w:t>11. Primaarsektor</w:t>
            </w:r>
          </w:p>
        </w:tc>
        <w:tc>
          <w:tcPr>
            <w:tcW w:w="1064" w:type="dxa"/>
            <w:vAlign w:val="center"/>
          </w:tcPr>
          <w:p w14:paraId="3B2BB300" w14:textId="3507A40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1,9</w:t>
            </w:r>
          </w:p>
        </w:tc>
        <w:tc>
          <w:tcPr>
            <w:tcW w:w="948" w:type="dxa"/>
            <w:vAlign w:val="center"/>
          </w:tcPr>
          <w:p w14:paraId="167EE351" w14:textId="163F5EF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-19,4</w:t>
            </w:r>
          </w:p>
        </w:tc>
        <w:tc>
          <w:tcPr>
            <w:tcW w:w="949" w:type="dxa"/>
            <w:vAlign w:val="center"/>
          </w:tcPr>
          <w:p w14:paraId="1CE34583" w14:textId="287BE00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-23,7</w:t>
            </w:r>
          </w:p>
        </w:tc>
        <w:tc>
          <w:tcPr>
            <w:tcW w:w="949" w:type="dxa"/>
            <w:vAlign w:val="center"/>
          </w:tcPr>
          <w:p w14:paraId="55EE7713" w14:textId="5DD374FE"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2,1</w:t>
            </w:r>
          </w:p>
        </w:tc>
        <w:tc>
          <w:tcPr>
            <w:tcW w:w="948" w:type="dxa"/>
            <w:vAlign w:val="center"/>
          </w:tcPr>
          <w:p w14:paraId="385AEE7E" w14:textId="5EAA13A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3,2</w:t>
            </w:r>
          </w:p>
        </w:tc>
        <w:tc>
          <w:tcPr>
            <w:tcW w:w="949" w:type="dxa"/>
            <w:vAlign w:val="center"/>
          </w:tcPr>
          <w:p w14:paraId="137C2268" w14:textId="440411B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2,8</w:t>
            </w:r>
          </w:p>
        </w:tc>
        <w:tc>
          <w:tcPr>
            <w:tcW w:w="949" w:type="dxa"/>
            <w:vAlign w:val="center"/>
          </w:tcPr>
          <w:p w14:paraId="1C409FF6" w14:textId="2CC2D08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2,8</w:t>
            </w:r>
          </w:p>
        </w:tc>
        <w:tc>
          <w:tcPr>
            <w:tcW w:w="949" w:type="dxa"/>
            <w:vAlign w:val="center"/>
          </w:tcPr>
          <w:p w14:paraId="76457256" w14:textId="7729022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2,8</w:t>
            </w:r>
          </w:p>
        </w:tc>
      </w:tr>
      <w:tr w:rsidR="00FB26A6" w:rsidRPr="00FB26A6" w14:paraId="4A9ECEFF" w14:textId="77777777" w:rsidTr="000F13F8">
        <w:trPr>
          <w:trHeight w:val="301"/>
          <w:jc w:val="center"/>
        </w:trPr>
        <w:tc>
          <w:tcPr>
            <w:cnfStyle w:val="001000000000" w:firstRow="0" w:lastRow="0" w:firstColumn="1" w:lastColumn="0" w:oddVBand="0" w:evenVBand="0" w:oddHBand="0" w:evenHBand="0" w:firstRowFirstColumn="0" w:firstRowLastColumn="0" w:lastRowFirstColumn="0" w:lastRowLastColumn="0"/>
            <w:tcW w:w="2338" w:type="dxa"/>
          </w:tcPr>
          <w:p w14:paraId="3CF311AC" w14:textId="19C51953" w:rsidR="00FB26A6" w:rsidRPr="00FB26A6" w:rsidRDefault="00FB26A6" w:rsidP="00FB26A6">
            <w:pPr>
              <w:pStyle w:val="Tabelid"/>
            </w:pPr>
            <w:r w:rsidRPr="00FB26A6">
              <w:t>12. Tööstus</w:t>
            </w:r>
          </w:p>
        </w:tc>
        <w:tc>
          <w:tcPr>
            <w:tcW w:w="1064" w:type="dxa"/>
            <w:vAlign w:val="center"/>
          </w:tcPr>
          <w:p w14:paraId="53F9CE5F" w14:textId="7A57D99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3,2</w:t>
            </w:r>
          </w:p>
        </w:tc>
        <w:tc>
          <w:tcPr>
            <w:tcW w:w="948" w:type="dxa"/>
            <w:vAlign w:val="center"/>
          </w:tcPr>
          <w:p w14:paraId="316EF904" w14:textId="343D25CA"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7,2</w:t>
            </w:r>
          </w:p>
        </w:tc>
        <w:tc>
          <w:tcPr>
            <w:tcW w:w="949" w:type="dxa"/>
            <w:vAlign w:val="center"/>
          </w:tcPr>
          <w:p w14:paraId="0953D484" w14:textId="202EB49A"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-4,9</w:t>
            </w:r>
          </w:p>
        </w:tc>
        <w:tc>
          <w:tcPr>
            <w:tcW w:w="949" w:type="dxa"/>
            <w:vAlign w:val="center"/>
          </w:tcPr>
          <w:p w14:paraId="700C790F" w14:textId="547D25A7"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-4,4</w:t>
            </w:r>
          </w:p>
        </w:tc>
        <w:tc>
          <w:tcPr>
            <w:tcW w:w="948" w:type="dxa"/>
            <w:vAlign w:val="center"/>
          </w:tcPr>
          <w:p w14:paraId="298D1BA1" w14:textId="6DC10DD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2,7</w:t>
            </w:r>
          </w:p>
        </w:tc>
        <w:tc>
          <w:tcPr>
            <w:tcW w:w="949" w:type="dxa"/>
            <w:vAlign w:val="center"/>
          </w:tcPr>
          <w:p w14:paraId="2569A79D" w14:textId="3F3D862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3,1</w:t>
            </w:r>
          </w:p>
        </w:tc>
        <w:tc>
          <w:tcPr>
            <w:tcW w:w="949" w:type="dxa"/>
            <w:vAlign w:val="center"/>
          </w:tcPr>
          <w:p w14:paraId="614FE762" w14:textId="3BA40470"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2,7</w:t>
            </w:r>
          </w:p>
        </w:tc>
        <w:tc>
          <w:tcPr>
            <w:tcW w:w="949" w:type="dxa"/>
            <w:vAlign w:val="center"/>
          </w:tcPr>
          <w:p w14:paraId="516C8107" w14:textId="40337BA8"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2,3</w:t>
            </w:r>
          </w:p>
        </w:tc>
      </w:tr>
      <w:tr w:rsidR="00FB26A6" w:rsidRPr="00FB26A6" w14:paraId="08CBC332" w14:textId="77777777" w:rsidTr="000F13F8">
        <w:trPr>
          <w:cnfStyle w:val="000000100000" w:firstRow="0" w:lastRow="0" w:firstColumn="0" w:lastColumn="0" w:oddVBand="0" w:evenVBand="0" w:oddHBand="1"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2338" w:type="dxa"/>
          </w:tcPr>
          <w:p w14:paraId="2C2E2415" w14:textId="3969430B" w:rsidR="00FB26A6" w:rsidRPr="00FB26A6" w:rsidRDefault="00FB26A6" w:rsidP="00FB26A6">
            <w:pPr>
              <w:pStyle w:val="Tabelid"/>
            </w:pPr>
            <w:r w:rsidRPr="00FB26A6">
              <w:t>13. Ehitus</w:t>
            </w:r>
          </w:p>
        </w:tc>
        <w:tc>
          <w:tcPr>
            <w:tcW w:w="1064" w:type="dxa"/>
            <w:vAlign w:val="center"/>
          </w:tcPr>
          <w:p w14:paraId="012AFC2B" w14:textId="4C7619A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7,4</w:t>
            </w:r>
          </w:p>
        </w:tc>
        <w:tc>
          <w:tcPr>
            <w:tcW w:w="948" w:type="dxa"/>
            <w:vAlign w:val="center"/>
          </w:tcPr>
          <w:p w14:paraId="6918BC7C" w14:textId="17D8B73F"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5,2</w:t>
            </w:r>
          </w:p>
        </w:tc>
        <w:tc>
          <w:tcPr>
            <w:tcW w:w="949" w:type="dxa"/>
            <w:vAlign w:val="center"/>
          </w:tcPr>
          <w:p w14:paraId="7503CA18" w14:textId="7B87328D"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0,2</w:t>
            </w:r>
          </w:p>
        </w:tc>
        <w:tc>
          <w:tcPr>
            <w:tcW w:w="949" w:type="dxa"/>
            <w:vAlign w:val="center"/>
          </w:tcPr>
          <w:p w14:paraId="2D6CF959" w14:textId="20BEBA4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-0,7</w:t>
            </w:r>
          </w:p>
        </w:tc>
        <w:tc>
          <w:tcPr>
            <w:tcW w:w="948" w:type="dxa"/>
            <w:vAlign w:val="center"/>
          </w:tcPr>
          <w:p w14:paraId="48A6A446" w14:textId="21A8076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3,2</w:t>
            </w:r>
          </w:p>
        </w:tc>
        <w:tc>
          <w:tcPr>
            <w:tcW w:w="949" w:type="dxa"/>
            <w:vAlign w:val="center"/>
          </w:tcPr>
          <w:p w14:paraId="3BF8DC35" w14:textId="4D876CB1"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3,0</w:t>
            </w:r>
          </w:p>
        </w:tc>
        <w:tc>
          <w:tcPr>
            <w:tcW w:w="949" w:type="dxa"/>
            <w:vAlign w:val="center"/>
          </w:tcPr>
          <w:p w14:paraId="5524C1BB" w14:textId="3F6ABA5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2,9</w:t>
            </w:r>
          </w:p>
        </w:tc>
        <w:tc>
          <w:tcPr>
            <w:tcW w:w="949" w:type="dxa"/>
            <w:vAlign w:val="center"/>
          </w:tcPr>
          <w:p w14:paraId="7E291306" w14:textId="2D1DC57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t>2,6</w:t>
            </w:r>
          </w:p>
        </w:tc>
      </w:tr>
      <w:tr w:rsidR="00FB26A6" w:rsidRPr="00414819" w14:paraId="0D4E78FF" w14:textId="77777777" w:rsidTr="000F13F8">
        <w:trPr>
          <w:trHeight w:val="301"/>
          <w:jc w:val="center"/>
        </w:trPr>
        <w:tc>
          <w:tcPr>
            <w:cnfStyle w:val="001000000000" w:firstRow="0" w:lastRow="0" w:firstColumn="1" w:lastColumn="0" w:oddVBand="0" w:evenVBand="0" w:oddHBand="0" w:evenHBand="0" w:firstRowFirstColumn="0" w:firstRowLastColumn="0" w:lastRowFirstColumn="0" w:lastRowLastColumn="0"/>
            <w:tcW w:w="2338" w:type="dxa"/>
          </w:tcPr>
          <w:p w14:paraId="508457AC" w14:textId="3C1E8543" w:rsidR="00FB26A6" w:rsidRPr="00FB26A6" w:rsidRDefault="00FB26A6" w:rsidP="00FB26A6">
            <w:pPr>
              <w:pStyle w:val="Tabelid"/>
            </w:pPr>
            <w:r w:rsidRPr="00FB26A6">
              <w:t xml:space="preserve">14. </w:t>
            </w:r>
            <w:r w:rsidR="00D9306F">
              <w:t>T</w:t>
            </w:r>
            <w:r w:rsidRPr="00FB26A6">
              <w:t>eenused</w:t>
            </w:r>
          </w:p>
        </w:tc>
        <w:tc>
          <w:tcPr>
            <w:tcW w:w="1064" w:type="dxa"/>
            <w:vAlign w:val="center"/>
          </w:tcPr>
          <w:p w14:paraId="002435EF" w14:textId="7FD5CF1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3,0</w:t>
            </w:r>
          </w:p>
        </w:tc>
        <w:tc>
          <w:tcPr>
            <w:tcW w:w="948" w:type="dxa"/>
            <w:vAlign w:val="center"/>
          </w:tcPr>
          <w:p w14:paraId="0835BA24" w14:textId="346850A4"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7,4</w:t>
            </w:r>
          </w:p>
        </w:tc>
        <w:tc>
          <w:tcPr>
            <w:tcW w:w="949" w:type="dxa"/>
            <w:vAlign w:val="center"/>
          </w:tcPr>
          <w:p w14:paraId="10329FEB" w14:textId="5B8489F4"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1,8</w:t>
            </w:r>
          </w:p>
        </w:tc>
        <w:tc>
          <w:tcPr>
            <w:tcW w:w="949" w:type="dxa"/>
            <w:vAlign w:val="center"/>
          </w:tcPr>
          <w:p w14:paraId="012DBC01" w14:textId="3C653A78"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-1,6</w:t>
            </w:r>
          </w:p>
        </w:tc>
        <w:tc>
          <w:tcPr>
            <w:tcW w:w="948" w:type="dxa"/>
            <w:vAlign w:val="center"/>
          </w:tcPr>
          <w:p w14:paraId="52921B16" w14:textId="75A305D9"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2,7</w:t>
            </w:r>
          </w:p>
        </w:tc>
        <w:tc>
          <w:tcPr>
            <w:tcW w:w="949" w:type="dxa"/>
            <w:vAlign w:val="center"/>
          </w:tcPr>
          <w:p w14:paraId="4A25FD56" w14:textId="2D30DE0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2,8</w:t>
            </w:r>
          </w:p>
        </w:tc>
        <w:tc>
          <w:tcPr>
            <w:tcW w:w="949" w:type="dxa"/>
            <w:vAlign w:val="center"/>
          </w:tcPr>
          <w:p w14:paraId="2E74ADE0" w14:textId="27EDE0BA"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2,2</w:t>
            </w:r>
          </w:p>
        </w:tc>
        <w:tc>
          <w:tcPr>
            <w:tcW w:w="949" w:type="dxa"/>
            <w:vAlign w:val="center"/>
          </w:tcPr>
          <w:p w14:paraId="4D3F37DA" w14:textId="1A2F9D97"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t>2,0</w:t>
            </w:r>
          </w:p>
        </w:tc>
      </w:tr>
    </w:tbl>
    <w:p w14:paraId="4E7C366D" w14:textId="77777777" w:rsidR="00831AD9" w:rsidRPr="00414819" w:rsidRDefault="00831AD9" w:rsidP="00831AD9">
      <w:pPr>
        <w:pStyle w:val="Phitekst"/>
        <w:rPr>
          <w:highlight w:val="yellow"/>
        </w:rPr>
      </w:pPr>
    </w:p>
    <w:p w14:paraId="0E40DFF3" w14:textId="65724BAD" w:rsidR="00831AD9" w:rsidRPr="00FB26A6" w:rsidRDefault="00831AD9" w:rsidP="00E54FF2">
      <w:pPr>
        <w:pStyle w:val="Caption"/>
      </w:pPr>
      <w:bookmarkStart w:id="229" w:name="_Toc511374598"/>
      <w:bookmarkStart w:id="230" w:name="_Toc4502666"/>
      <w:bookmarkStart w:id="231" w:name="_Toc143775548"/>
      <w:r w:rsidRPr="00FB26A6">
        <w:t xml:space="preserve">Tabel </w:t>
      </w:r>
      <w:r w:rsidR="004C0EAE">
        <w:fldChar w:fldCharType="begin"/>
      </w:r>
      <w:r w:rsidR="004C0EAE">
        <w:instrText xml:space="preserve"> SEQ Tabel \* ARABIC </w:instrText>
      </w:r>
      <w:r w:rsidR="004C0EAE">
        <w:fldChar w:fldCharType="separate"/>
      </w:r>
      <w:r w:rsidR="008478E8">
        <w:rPr>
          <w:noProof/>
        </w:rPr>
        <w:t>7</w:t>
      </w:r>
      <w:r w:rsidR="004C0EAE">
        <w:rPr>
          <w:noProof/>
        </w:rPr>
        <w:fldChar w:fldCharType="end"/>
      </w:r>
      <w:r w:rsidRPr="00FB26A6">
        <w:t>. Hindade prognoos 202</w:t>
      </w:r>
      <w:r w:rsidR="006117CC" w:rsidRPr="00FB26A6">
        <w:t>3</w:t>
      </w:r>
      <w:r w:rsidRPr="00FB26A6">
        <w:t>–202</w:t>
      </w:r>
      <w:bookmarkEnd w:id="229"/>
      <w:bookmarkEnd w:id="230"/>
      <w:r w:rsidR="006117CC" w:rsidRPr="00FB26A6">
        <w:t>7</w:t>
      </w:r>
      <w:bookmarkEnd w:id="231"/>
    </w:p>
    <w:tbl>
      <w:tblPr>
        <w:tblStyle w:val="TableSubtle1"/>
        <w:tblW w:w="10043" w:type="dxa"/>
        <w:tblLook w:val="04A0" w:firstRow="1" w:lastRow="0" w:firstColumn="1" w:lastColumn="0" w:noHBand="0" w:noVBand="1"/>
      </w:tblPr>
      <w:tblGrid>
        <w:gridCol w:w="2330"/>
        <w:gridCol w:w="1072"/>
        <w:gridCol w:w="948"/>
        <w:gridCol w:w="949"/>
        <w:gridCol w:w="949"/>
        <w:gridCol w:w="948"/>
        <w:gridCol w:w="949"/>
        <w:gridCol w:w="949"/>
        <w:gridCol w:w="949"/>
      </w:tblGrid>
      <w:tr w:rsidR="006117CC" w:rsidRPr="00FB26A6" w14:paraId="14598DDE" w14:textId="77777777" w:rsidTr="005150B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69DC136A" w14:textId="77777777" w:rsidR="006117CC" w:rsidRPr="00FB26A6" w:rsidRDefault="006117CC" w:rsidP="006117CC">
            <w:pPr>
              <w:pStyle w:val="Tabelid"/>
            </w:pPr>
            <w:r w:rsidRPr="00FB26A6">
              <w:t>%</w:t>
            </w:r>
          </w:p>
        </w:tc>
        <w:tc>
          <w:tcPr>
            <w:tcW w:w="1072" w:type="dxa"/>
          </w:tcPr>
          <w:p w14:paraId="3AE1B4CE" w14:textId="3328C1DB"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2011-20</w:t>
            </w:r>
          </w:p>
        </w:tc>
        <w:tc>
          <w:tcPr>
            <w:tcW w:w="948" w:type="dxa"/>
          </w:tcPr>
          <w:p w14:paraId="7FE220DE" w14:textId="00CE7709"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2021</w:t>
            </w:r>
          </w:p>
        </w:tc>
        <w:tc>
          <w:tcPr>
            <w:tcW w:w="949" w:type="dxa"/>
            <w:hideMark/>
          </w:tcPr>
          <w:p w14:paraId="2113E348" w14:textId="5D2AA5C2"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2022</w:t>
            </w:r>
          </w:p>
        </w:tc>
        <w:tc>
          <w:tcPr>
            <w:tcW w:w="949" w:type="dxa"/>
            <w:hideMark/>
          </w:tcPr>
          <w:p w14:paraId="1302F3BC" w14:textId="71A3973B"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2023</w:t>
            </w:r>
          </w:p>
        </w:tc>
        <w:tc>
          <w:tcPr>
            <w:tcW w:w="948" w:type="dxa"/>
            <w:hideMark/>
          </w:tcPr>
          <w:p w14:paraId="734D3E13" w14:textId="588EED19"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2024</w:t>
            </w:r>
          </w:p>
        </w:tc>
        <w:tc>
          <w:tcPr>
            <w:tcW w:w="949" w:type="dxa"/>
            <w:hideMark/>
          </w:tcPr>
          <w:p w14:paraId="75534361" w14:textId="4A767430"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2025</w:t>
            </w:r>
          </w:p>
        </w:tc>
        <w:tc>
          <w:tcPr>
            <w:tcW w:w="949" w:type="dxa"/>
            <w:hideMark/>
          </w:tcPr>
          <w:p w14:paraId="164CD069" w14:textId="5F3F6424"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2026</w:t>
            </w:r>
          </w:p>
        </w:tc>
        <w:tc>
          <w:tcPr>
            <w:tcW w:w="949" w:type="dxa"/>
            <w:hideMark/>
          </w:tcPr>
          <w:p w14:paraId="1BE3FC7A" w14:textId="577B9498" w:rsidR="006117CC" w:rsidRPr="00FB26A6"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FB26A6">
              <w:t>2027</w:t>
            </w:r>
          </w:p>
        </w:tc>
      </w:tr>
      <w:tr w:rsidR="00FB26A6" w:rsidRPr="00FB26A6" w14:paraId="0283B52D" w14:textId="77777777" w:rsidTr="0088551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4AA4444E" w14:textId="77777777" w:rsidR="00FB26A6" w:rsidRPr="00FB26A6" w:rsidRDefault="00FB26A6" w:rsidP="00FB26A6">
            <w:pPr>
              <w:pStyle w:val="Tabelid"/>
            </w:pPr>
            <w:r w:rsidRPr="00FB26A6">
              <w:t>1. SKP deflaator</w:t>
            </w:r>
          </w:p>
        </w:tc>
        <w:tc>
          <w:tcPr>
            <w:tcW w:w="1072" w:type="dxa"/>
            <w:vAlign w:val="center"/>
          </w:tcPr>
          <w:p w14:paraId="1ADD4931" w14:textId="1442667B"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3,1</w:t>
            </w:r>
          </w:p>
        </w:tc>
        <w:tc>
          <w:tcPr>
            <w:tcW w:w="948" w:type="dxa"/>
            <w:vAlign w:val="center"/>
          </w:tcPr>
          <w:p w14:paraId="364DA302" w14:textId="1DE6AF29"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5,9</w:t>
            </w:r>
          </w:p>
        </w:tc>
        <w:tc>
          <w:tcPr>
            <w:tcW w:w="949" w:type="dxa"/>
            <w:vAlign w:val="center"/>
            <w:hideMark/>
          </w:tcPr>
          <w:p w14:paraId="5B736522" w14:textId="1A77E91B"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16,1</w:t>
            </w:r>
          </w:p>
        </w:tc>
        <w:tc>
          <w:tcPr>
            <w:tcW w:w="949" w:type="dxa"/>
            <w:vAlign w:val="center"/>
            <w:hideMark/>
          </w:tcPr>
          <w:p w14:paraId="74FBA848" w14:textId="12CBF508"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9,9</w:t>
            </w:r>
          </w:p>
        </w:tc>
        <w:tc>
          <w:tcPr>
            <w:tcW w:w="948" w:type="dxa"/>
            <w:vAlign w:val="center"/>
            <w:hideMark/>
          </w:tcPr>
          <w:p w14:paraId="7573D7AD" w14:textId="20700ADA"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4,0</w:t>
            </w:r>
          </w:p>
        </w:tc>
        <w:tc>
          <w:tcPr>
            <w:tcW w:w="949" w:type="dxa"/>
            <w:vAlign w:val="center"/>
            <w:hideMark/>
          </w:tcPr>
          <w:p w14:paraId="7825FC0F" w14:textId="6092C2BE"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2,5</w:t>
            </w:r>
          </w:p>
        </w:tc>
        <w:tc>
          <w:tcPr>
            <w:tcW w:w="949" w:type="dxa"/>
            <w:vAlign w:val="center"/>
            <w:hideMark/>
          </w:tcPr>
          <w:p w14:paraId="6443C129" w14:textId="096602B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2,2</w:t>
            </w:r>
          </w:p>
        </w:tc>
        <w:tc>
          <w:tcPr>
            <w:tcW w:w="949" w:type="dxa"/>
            <w:vAlign w:val="center"/>
            <w:hideMark/>
          </w:tcPr>
          <w:p w14:paraId="16562986" w14:textId="0ED8B479"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2,2</w:t>
            </w:r>
          </w:p>
        </w:tc>
      </w:tr>
      <w:tr w:rsidR="00FB26A6" w:rsidRPr="00FB26A6" w14:paraId="3007BB2A" w14:textId="77777777" w:rsidTr="00980E15">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11CA3B5E" w14:textId="77777777" w:rsidR="00FB26A6" w:rsidRPr="00FB26A6" w:rsidRDefault="00FB26A6" w:rsidP="00FB26A6">
            <w:pPr>
              <w:pStyle w:val="Tabelid"/>
            </w:pPr>
            <w:r w:rsidRPr="00FB26A6">
              <w:t>2. Eratarbimise deflaator</w:t>
            </w:r>
          </w:p>
        </w:tc>
        <w:tc>
          <w:tcPr>
            <w:tcW w:w="1072" w:type="dxa"/>
            <w:vAlign w:val="center"/>
          </w:tcPr>
          <w:p w14:paraId="16544B96" w14:textId="7B5C98F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2,4</w:t>
            </w:r>
          </w:p>
        </w:tc>
        <w:tc>
          <w:tcPr>
            <w:tcW w:w="948" w:type="dxa"/>
            <w:vAlign w:val="center"/>
          </w:tcPr>
          <w:p w14:paraId="3AE47A15" w14:textId="7B50EBFC"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4,2</w:t>
            </w:r>
          </w:p>
        </w:tc>
        <w:tc>
          <w:tcPr>
            <w:tcW w:w="949" w:type="dxa"/>
            <w:vAlign w:val="center"/>
            <w:hideMark/>
          </w:tcPr>
          <w:p w14:paraId="6A2C4122" w14:textId="674F770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17,0</w:t>
            </w:r>
          </w:p>
        </w:tc>
        <w:tc>
          <w:tcPr>
            <w:tcW w:w="949" w:type="dxa"/>
            <w:vAlign w:val="center"/>
            <w:hideMark/>
          </w:tcPr>
          <w:p w14:paraId="3ECB9676" w14:textId="3A36BE59"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8,4</w:t>
            </w:r>
          </w:p>
        </w:tc>
        <w:tc>
          <w:tcPr>
            <w:tcW w:w="948" w:type="dxa"/>
            <w:vAlign w:val="center"/>
            <w:hideMark/>
          </w:tcPr>
          <w:p w14:paraId="2357EFEE" w14:textId="3437F2DA"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4,2</w:t>
            </w:r>
          </w:p>
        </w:tc>
        <w:tc>
          <w:tcPr>
            <w:tcW w:w="949" w:type="dxa"/>
            <w:vAlign w:val="center"/>
            <w:hideMark/>
          </w:tcPr>
          <w:p w14:paraId="7F9C46BD" w14:textId="172906B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2,4</w:t>
            </w:r>
          </w:p>
        </w:tc>
        <w:tc>
          <w:tcPr>
            <w:tcW w:w="949" w:type="dxa"/>
            <w:vAlign w:val="center"/>
            <w:hideMark/>
          </w:tcPr>
          <w:p w14:paraId="2952B33A" w14:textId="043020F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1,7</w:t>
            </w:r>
          </w:p>
        </w:tc>
        <w:tc>
          <w:tcPr>
            <w:tcW w:w="949" w:type="dxa"/>
            <w:vAlign w:val="center"/>
            <w:hideMark/>
          </w:tcPr>
          <w:p w14:paraId="64B28791" w14:textId="363D96B3"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1,9</w:t>
            </w:r>
          </w:p>
        </w:tc>
      </w:tr>
      <w:tr w:rsidR="00FB26A6" w:rsidRPr="00FB26A6" w14:paraId="5F914F3E" w14:textId="77777777" w:rsidTr="00885513">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330" w:type="dxa"/>
            <w:hideMark/>
          </w:tcPr>
          <w:p w14:paraId="33A40CE8" w14:textId="77777777" w:rsidR="00FB26A6" w:rsidRPr="00FB26A6" w:rsidRDefault="00FB26A6" w:rsidP="00A8328F">
            <w:pPr>
              <w:pStyle w:val="Tabelid"/>
              <w:jc w:val="left"/>
            </w:pPr>
            <w:r w:rsidRPr="00FB26A6">
              <w:t>3. Harmoniseeritud tarbijahinnaindeks</w:t>
            </w:r>
          </w:p>
        </w:tc>
        <w:tc>
          <w:tcPr>
            <w:tcW w:w="1072" w:type="dxa"/>
            <w:vAlign w:val="center"/>
          </w:tcPr>
          <w:p w14:paraId="378FE12C" w14:textId="536F215F"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2,3</w:t>
            </w:r>
          </w:p>
        </w:tc>
        <w:tc>
          <w:tcPr>
            <w:tcW w:w="948" w:type="dxa"/>
            <w:vAlign w:val="center"/>
          </w:tcPr>
          <w:p w14:paraId="25BE1400" w14:textId="28BE93BF"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4,5</w:t>
            </w:r>
          </w:p>
        </w:tc>
        <w:tc>
          <w:tcPr>
            <w:tcW w:w="949" w:type="dxa"/>
            <w:vAlign w:val="center"/>
            <w:hideMark/>
          </w:tcPr>
          <w:p w14:paraId="081214A0" w14:textId="78DB611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19,4</w:t>
            </w:r>
          </w:p>
        </w:tc>
        <w:tc>
          <w:tcPr>
            <w:tcW w:w="949" w:type="dxa"/>
            <w:vAlign w:val="center"/>
            <w:hideMark/>
          </w:tcPr>
          <w:p w14:paraId="38AE02AF" w14:textId="028BEB14"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9,6</w:t>
            </w:r>
          </w:p>
        </w:tc>
        <w:tc>
          <w:tcPr>
            <w:tcW w:w="948" w:type="dxa"/>
            <w:vAlign w:val="center"/>
            <w:hideMark/>
          </w:tcPr>
          <w:p w14:paraId="06A9D522" w14:textId="65FC93B0"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4,8</w:t>
            </w:r>
          </w:p>
        </w:tc>
        <w:tc>
          <w:tcPr>
            <w:tcW w:w="949" w:type="dxa"/>
            <w:vAlign w:val="center"/>
            <w:hideMark/>
          </w:tcPr>
          <w:p w14:paraId="3C623FDC" w14:textId="053232E6"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2,6</w:t>
            </w:r>
          </w:p>
        </w:tc>
        <w:tc>
          <w:tcPr>
            <w:tcW w:w="949" w:type="dxa"/>
            <w:vAlign w:val="center"/>
            <w:hideMark/>
          </w:tcPr>
          <w:p w14:paraId="2038B1D7" w14:textId="6BCC3240"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1,9</w:t>
            </w:r>
          </w:p>
        </w:tc>
        <w:tc>
          <w:tcPr>
            <w:tcW w:w="949" w:type="dxa"/>
            <w:vAlign w:val="center"/>
            <w:hideMark/>
          </w:tcPr>
          <w:p w14:paraId="3A0B538E" w14:textId="7C3170F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2,0</w:t>
            </w:r>
          </w:p>
        </w:tc>
      </w:tr>
      <w:tr w:rsidR="00FB26A6" w:rsidRPr="00FB26A6" w14:paraId="5A4888FE" w14:textId="77777777" w:rsidTr="00885513">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6499E380" w14:textId="77777777" w:rsidR="00FB26A6" w:rsidRPr="00FB26A6" w:rsidRDefault="00FB26A6" w:rsidP="00FB26A6">
            <w:pPr>
              <w:pStyle w:val="Tabelid"/>
            </w:pPr>
            <w:r w:rsidRPr="00FB26A6">
              <w:t>3a. Tarbijahinnaindeks</w:t>
            </w:r>
          </w:p>
        </w:tc>
        <w:tc>
          <w:tcPr>
            <w:tcW w:w="1072" w:type="dxa"/>
            <w:vAlign w:val="center"/>
          </w:tcPr>
          <w:p w14:paraId="7EB98781" w14:textId="6EB85A9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2,0</w:t>
            </w:r>
          </w:p>
        </w:tc>
        <w:tc>
          <w:tcPr>
            <w:tcW w:w="948" w:type="dxa"/>
            <w:vAlign w:val="center"/>
          </w:tcPr>
          <w:p w14:paraId="2E90502F" w14:textId="170517E7"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4,6</w:t>
            </w:r>
          </w:p>
        </w:tc>
        <w:tc>
          <w:tcPr>
            <w:tcW w:w="949" w:type="dxa"/>
            <w:vAlign w:val="center"/>
            <w:hideMark/>
          </w:tcPr>
          <w:p w14:paraId="7160D956" w14:textId="7ED695A9"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19,4</w:t>
            </w:r>
          </w:p>
        </w:tc>
        <w:tc>
          <w:tcPr>
            <w:tcW w:w="949" w:type="dxa"/>
            <w:vAlign w:val="center"/>
            <w:hideMark/>
          </w:tcPr>
          <w:p w14:paraId="2B7EB646" w14:textId="581FA942"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9,6</w:t>
            </w:r>
          </w:p>
        </w:tc>
        <w:tc>
          <w:tcPr>
            <w:tcW w:w="948" w:type="dxa"/>
            <w:vAlign w:val="center"/>
            <w:hideMark/>
          </w:tcPr>
          <w:p w14:paraId="372362FD" w14:textId="7C650357"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4,6</w:t>
            </w:r>
          </w:p>
        </w:tc>
        <w:tc>
          <w:tcPr>
            <w:tcW w:w="949" w:type="dxa"/>
            <w:vAlign w:val="center"/>
            <w:hideMark/>
          </w:tcPr>
          <w:p w14:paraId="6399494B" w14:textId="4D88CAD8"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2,5</w:t>
            </w:r>
          </w:p>
        </w:tc>
        <w:tc>
          <w:tcPr>
            <w:tcW w:w="949" w:type="dxa"/>
            <w:vAlign w:val="center"/>
            <w:hideMark/>
          </w:tcPr>
          <w:p w14:paraId="0A9DA3BB" w14:textId="445BBA80"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1,7</w:t>
            </w:r>
          </w:p>
        </w:tc>
        <w:tc>
          <w:tcPr>
            <w:tcW w:w="949" w:type="dxa"/>
            <w:vAlign w:val="center"/>
            <w:hideMark/>
          </w:tcPr>
          <w:p w14:paraId="5C9EFC79" w14:textId="61D0A6F0"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1,9</w:t>
            </w:r>
          </w:p>
        </w:tc>
      </w:tr>
      <w:tr w:rsidR="00FB26A6" w:rsidRPr="00FB26A6" w14:paraId="74A64BE1" w14:textId="77777777" w:rsidTr="00980E15">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330" w:type="dxa"/>
            <w:hideMark/>
          </w:tcPr>
          <w:p w14:paraId="2BBC6CB7" w14:textId="77777777" w:rsidR="00FB26A6" w:rsidRPr="00FB26A6" w:rsidRDefault="00FB26A6" w:rsidP="00FB26A6">
            <w:pPr>
              <w:pStyle w:val="Tabelid"/>
            </w:pPr>
            <w:r w:rsidRPr="00FB26A6">
              <w:t>4. Valitsussektori tarbimis</w:t>
            </w:r>
            <w:r w:rsidRPr="00FB26A6">
              <w:softHyphen/>
              <w:t>kulutuste deflaator</w:t>
            </w:r>
          </w:p>
        </w:tc>
        <w:tc>
          <w:tcPr>
            <w:tcW w:w="1072" w:type="dxa"/>
            <w:vAlign w:val="center"/>
          </w:tcPr>
          <w:p w14:paraId="76A3664B" w14:textId="705A913B"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4,5</w:t>
            </w:r>
          </w:p>
        </w:tc>
        <w:tc>
          <w:tcPr>
            <w:tcW w:w="948" w:type="dxa"/>
            <w:vAlign w:val="center"/>
          </w:tcPr>
          <w:p w14:paraId="759845D3" w14:textId="73ED89F6"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5,1</w:t>
            </w:r>
          </w:p>
        </w:tc>
        <w:tc>
          <w:tcPr>
            <w:tcW w:w="949" w:type="dxa"/>
            <w:vAlign w:val="center"/>
            <w:hideMark/>
          </w:tcPr>
          <w:p w14:paraId="6DBBB625" w14:textId="7B43C8E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12,7</w:t>
            </w:r>
          </w:p>
        </w:tc>
        <w:tc>
          <w:tcPr>
            <w:tcW w:w="949" w:type="dxa"/>
            <w:vAlign w:val="center"/>
            <w:hideMark/>
          </w:tcPr>
          <w:p w14:paraId="5547AB71" w14:textId="3282302E"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12,4</w:t>
            </w:r>
          </w:p>
        </w:tc>
        <w:tc>
          <w:tcPr>
            <w:tcW w:w="948" w:type="dxa"/>
            <w:vAlign w:val="center"/>
            <w:hideMark/>
          </w:tcPr>
          <w:p w14:paraId="3988ED96" w14:textId="7324402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4,3</w:t>
            </w:r>
          </w:p>
        </w:tc>
        <w:tc>
          <w:tcPr>
            <w:tcW w:w="949" w:type="dxa"/>
            <w:vAlign w:val="center"/>
            <w:hideMark/>
          </w:tcPr>
          <w:p w14:paraId="550F5DAC" w14:textId="4095E7EE"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2,9</w:t>
            </w:r>
          </w:p>
        </w:tc>
        <w:tc>
          <w:tcPr>
            <w:tcW w:w="949" w:type="dxa"/>
            <w:vAlign w:val="center"/>
            <w:hideMark/>
          </w:tcPr>
          <w:p w14:paraId="49896294" w14:textId="6B7EF845"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2,5</w:t>
            </w:r>
          </w:p>
        </w:tc>
        <w:tc>
          <w:tcPr>
            <w:tcW w:w="949" w:type="dxa"/>
            <w:vAlign w:val="center"/>
            <w:hideMark/>
          </w:tcPr>
          <w:p w14:paraId="3697B277" w14:textId="11D7C356"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2,4</w:t>
            </w:r>
          </w:p>
        </w:tc>
      </w:tr>
      <w:tr w:rsidR="00FB26A6" w:rsidRPr="00FB26A6" w14:paraId="198683BD" w14:textId="77777777" w:rsidTr="00980E15">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2AB9EFF9" w14:textId="77777777" w:rsidR="00FB26A6" w:rsidRPr="00FB26A6" w:rsidRDefault="00FB26A6" w:rsidP="00FB26A6">
            <w:pPr>
              <w:pStyle w:val="Tabelid"/>
            </w:pPr>
            <w:r w:rsidRPr="00FB26A6">
              <w:t>5. Investeeringute deflaator</w:t>
            </w:r>
          </w:p>
        </w:tc>
        <w:tc>
          <w:tcPr>
            <w:tcW w:w="1072" w:type="dxa"/>
            <w:vAlign w:val="center"/>
          </w:tcPr>
          <w:p w14:paraId="3A37F967" w14:textId="0AC0A164"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1,5</w:t>
            </w:r>
          </w:p>
        </w:tc>
        <w:tc>
          <w:tcPr>
            <w:tcW w:w="948" w:type="dxa"/>
            <w:vAlign w:val="center"/>
          </w:tcPr>
          <w:p w14:paraId="1067A502" w14:textId="577F1A5F"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3,6</w:t>
            </w:r>
          </w:p>
        </w:tc>
        <w:tc>
          <w:tcPr>
            <w:tcW w:w="949" w:type="dxa"/>
            <w:vAlign w:val="center"/>
            <w:hideMark/>
          </w:tcPr>
          <w:p w14:paraId="7332073A" w14:textId="6C5036E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12,6</w:t>
            </w:r>
          </w:p>
        </w:tc>
        <w:tc>
          <w:tcPr>
            <w:tcW w:w="949" w:type="dxa"/>
            <w:vAlign w:val="center"/>
            <w:hideMark/>
          </w:tcPr>
          <w:p w14:paraId="614C438A" w14:textId="3F30D2C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4,5</w:t>
            </w:r>
          </w:p>
        </w:tc>
        <w:tc>
          <w:tcPr>
            <w:tcW w:w="948" w:type="dxa"/>
            <w:vAlign w:val="center"/>
            <w:hideMark/>
          </w:tcPr>
          <w:p w14:paraId="45C7EE8F" w14:textId="48EC0FB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2,9</w:t>
            </w:r>
          </w:p>
        </w:tc>
        <w:tc>
          <w:tcPr>
            <w:tcW w:w="949" w:type="dxa"/>
            <w:vAlign w:val="center"/>
            <w:hideMark/>
          </w:tcPr>
          <w:p w14:paraId="2217AD3B" w14:textId="53F5AA66"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2,3</w:t>
            </w:r>
          </w:p>
        </w:tc>
        <w:tc>
          <w:tcPr>
            <w:tcW w:w="949" w:type="dxa"/>
            <w:vAlign w:val="center"/>
            <w:hideMark/>
          </w:tcPr>
          <w:p w14:paraId="015D7CA4" w14:textId="40DDE21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2,1</w:t>
            </w:r>
          </w:p>
        </w:tc>
        <w:tc>
          <w:tcPr>
            <w:tcW w:w="949" w:type="dxa"/>
            <w:vAlign w:val="center"/>
            <w:hideMark/>
          </w:tcPr>
          <w:p w14:paraId="7A8348A3" w14:textId="5BC25A6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2,2</w:t>
            </w:r>
          </w:p>
        </w:tc>
      </w:tr>
      <w:tr w:rsidR="00FB26A6" w:rsidRPr="00FB26A6" w14:paraId="6292BC54" w14:textId="77777777" w:rsidTr="00980E1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5878A5AD" w14:textId="77777777" w:rsidR="00FB26A6" w:rsidRPr="00FB26A6" w:rsidRDefault="00FB26A6" w:rsidP="00FB26A6">
            <w:pPr>
              <w:pStyle w:val="Tabelid"/>
            </w:pPr>
            <w:r w:rsidRPr="00FB26A6">
              <w:t>6. Ekspordi deflaator</w:t>
            </w:r>
          </w:p>
        </w:tc>
        <w:tc>
          <w:tcPr>
            <w:tcW w:w="1072" w:type="dxa"/>
            <w:vAlign w:val="center"/>
          </w:tcPr>
          <w:p w14:paraId="2778CAA5" w14:textId="010B4C27"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1,3</w:t>
            </w:r>
          </w:p>
        </w:tc>
        <w:tc>
          <w:tcPr>
            <w:tcW w:w="948" w:type="dxa"/>
            <w:vAlign w:val="center"/>
          </w:tcPr>
          <w:p w14:paraId="6002EBE3" w14:textId="0E1FDAE3"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7,9</w:t>
            </w:r>
          </w:p>
        </w:tc>
        <w:tc>
          <w:tcPr>
            <w:tcW w:w="949" w:type="dxa"/>
            <w:vAlign w:val="center"/>
            <w:hideMark/>
          </w:tcPr>
          <w:p w14:paraId="6B205C66" w14:textId="480CD51F" w:rsidR="00FB26A6" w:rsidRPr="00FB26A6" w:rsidRDefault="0080016B" w:rsidP="00FB26A6">
            <w:pPr>
              <w:pStyle w:val="Tabelid"/>
              <w:jc w:val="right"/>
              <w:cnfStyle w:val="000000100000" w:firstRow="0" w:lastRow="0" w:firstColumn="0" w:lastColumn="0" w:oddVBand="0" w:evenVBand="0" w:oddHBand="1" w:evenHBand="0" w:firstRowFirstColumn="0" w:firstRowLastColumn="0" w:lastRowFirstColumn="0" w:lastRowLastColumn="0"/>
            </w:pPr>
            <w:r>
              <w:t>19,9</w:t>
            </w:r>
          </w:p>
        </w:tc>
        <w:tc>
          <w:tcPr>
            <w:tcW w:w="949" w:type="dxa"/>
            <w:vAlign w:val="center"/>
            <w:hideMark/>
          </w:tcPr>
          <w:p w14:paraId="53859556" w14:textId="7EB42176"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w:t>
            </w:r>
            <w:r w:rsidR="0080016B">
              <w:rPr>
                <w:color w:val="000000"/>
              </w:rPr>
              <w:t>6</w:t>
            </w:r>
          </w:p>
        </w:tc>
        <w:tc>
          <w:tcPr>
            <w:tcW w:w="948" w:type="dxa"/>
            <w:vAlign w:val="center"/>
            <w:hideMark/>
          </w:tcPr>
          <w:p w14:paraId="46BEEDD1" w14:textId="2886A4E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1,7</w:t>
            </w:r>
          </w:p>
        </w:tc>
        <w:tc>
          <w:tcPr>
            <w:tcW w:w="949" w:type="dxa"/>
            <w:vAlign w:val="center"/>
            <w:hideMark/>
          </w:tcPr>
          <w:p w14:paraId="25B64225" w14:textId="37DDE09C"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2,0</w:t>
            </w:r>
          </w:p>
        </w:tc>
        <w:tc>
          <w:tcPr>
            <w:tcW w:w="949" w:type="dxa"/>
            <w:vAlign w:val="center"/>
            <w:hideMark/>
          </w:tcPr>
          <w:p w14:paraId="5C144966" w14:textId="23ED6017"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2,1</w:t>
            </w:r>
          </w:p>
        </w:tc>
        <w:tc>
          <w:tcPr>
            <w:tcW w:w="949" w:type="dxa"/>
            <w:vAlign w:val="center"/>
            <w:hideMark/>
          </w:tcPr>
          <w:p w14:paraId="1150C498" w14:textId="6EC22044" w:rsidR="00FB26A6" w:rsidRPr="00FB26A6" w:rsidRDefault="00FB26A6" w:rsidP="00FB26A6">
            <w:pPr>
              <w:pStyle w:val="Tabelid"/>
              <w:jc w:val="right"/>
              <w:cnfStyle w:val="000000100000" w:firstRow="0" w:lastRow="0" w:firstColumn="0" w:lastColumn="0" w:oddVBand="0" w:evenVBand="0" w:oddHBand="1" w:evenHBand="0" w:firstRowFirstColumn="0" w:firstRowLastColumn="0" w:lastRowFirstColumn="0" w:lastRowLastColumn="0"/>
            </w:pPr>
            <w:r w:rsidRPr="00FB26A6">
              <w:rPr>
                <w:color w:val="000000"/>
              </w:rPr>
              <w:t>2,0</w:t>
            </w:r>
          </w:p>
        </w:tc>
      </w:tr>
      <w:tr w:rsidR="00FB26A6" w:rsidRPr="00414819" w14:paraId="5CD40ED5" w14:textId="77777777" w:rsidTr="00980E15">
        <w:trPr>
          <w:trHeight w:val="300"/>
        </w:trPr>
        <w:tc>
          <w:tcPr>
            <w:cnfStyle w:val="001000000000" w:firstRow="0" w:lastRow="0" w:firstColumn="1" w:lastColumn="0" w:oddVBand="0" w:evenVBand="0" w:oddHBand="0" w:evenHBand="0" w:firstRowFirstColumn="0" w:firstRowLastColumn="0" w:lastRowFirstColumn="0" w:lastRowLastColumn="0"/>
            <w:tcW w:w="2330" w:type="dxa"/>
            <w:hideMark/>
          </w:tcPr>
          <w:p w14:paraId="324FDCCD" w14:textId="77777777" w:rsidR="00FB26A6" w:rsidRPr="00FB26A6" w:rsidRDefault="00FB26A6" w:rsidP="00FB26A6">
            <w:pPr>
              <w:pStyle w:val="Tabelid"/>
            </w:pPr>
            <w:r w:rsidRPr="00FB26A6">
              <w:t>7. Impordi deflaator</w:t>
            </w:r>
          </w:p>
        </w:tc>
        <w:tc>
          <w:tcPr>
            <w:tcW w:w="1072" w:type="dxa"/>
            <w:vAlign w:val="center"/>
          </w:tcPr>
          <w:p w14:paraId="3CD668BC" w14:textId="0B8DA89E"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0,6</w:t>
            </w:r>
          </w:p>
        </w:tc>
        <w:tc>
          <w:tcPr>
            <w:tcW w:w="948" w:type="dxa"/>
            <w:vAlign w:val="center"/>
          </w:tcPr>
          <w:p w14:paraId="087CB9FC" w14:textId="1792DBF7"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7,</w:t>
            </w:r>
            <w:r w:rsidR="0080016B">
              <w:rPr>
                <w:color w:val="000000"/>
              </w:rPr>
              <w:t>4</w:t>
            </w:r>
          </w:p>
        </w:tc>
        <w:tc>
          <w:tcPr>
            <w:tcW w:w="949" w:type="dxa"/>
            <w:vAlign w:val="center"/>
            <w:hideMark/>
          </w:tcPr>
          <w:p w14:paraId="33F7A92D" w14:textId="722042ED"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w:t>
            </w:r>
            <w:r w:rsidR="0080016B">
              <w:rPr>
                <w:color w:val="000000"/>
              </w:rPr>
              <w:t>8</w:t>
            </w:r>
            <w:r w:rsidRPr="00FB26A6">
              <w:rPr>
                <w:color w:val="000000"/>
              </w:rPr>
              <w:t>,</w:t>
            </w:r>
            <w:r w:rsidR="0080016B">
              <w:rPr>
                <w:color w:val="000000"/>
              </w:rPr>
              <w:t>9</w:t>
            </w:r>
          </w:p>
        </w:tc>
        <w:tc>
          <w:tcPr>
            <w:tcW w:w="949" w:type="dxa"/>
            <w:vAlign w:val="center"/>
            <w:hideMark/>
          </w:tcPr>
          <w:p w14:paraId="3F21F8C4" w14:textId="59E25BC5"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0,</w:t>
            </w:r>
            <w:r w:rsidR="0080016B">
              <w:rPr>
                <w:color w:val="000000"/>
              </w:rPr>
              <w:t>6</w:t>
            </w:r>
          </w:p>
        </w:tc>
        <w:tc>
          <w:tcPr>
            <w:tcW w:w="948" w:type="dxa"/>
            <w:vAlign w:val="center"/>
            <w:hideMark/>
          </w:tcPr>
          <w:p w14:paraId="155153BE" w14:textId="1AA30240"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1,3</w:t>
            </w:r>
          </w:p>
        </w:tc>
        <w:tc>
          <w:tcPr>
            <w:tcW w:w="949" w:type="dxa"/>
            <w:vAlign w:val="center"/>
            <w:hideMark/>
          </w:tcPr>
          <w:p w14:paraId="6C066003" w14:textId="028BBB8C"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1,9</w:t>
            </w:r>
          </w:p>
        </w:tc>
        <w:tc>
          <w:tcPr>
            <w:tcW w:w="949" w:type="dxa"/>
            <w:vAlign w:val="center"/>
            <w:hideMark/>
          </w:tcPr>
          <w:p w14:paraId="4B9E3193" w14:textId="238D0251"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1,9</w:t>
            </w:r>
          </w:p>
        </w:tc>
        <w:tc>
          <w:tcPr>
            <w:tcW w:w="949" w:type="dxa"/>
            <w:vAlign w:val="center"/>
            <w:hideMark/>
          </w:tcPr>
          <w:p w14:paraId="0EE0B031" w14:textId="268B4FAF" w:rsidR="00FB26A6" w:rsidRPr="00FB26A6" w:rsidRDefault="00FB26A6" w:rsidP="00FB26A6">
            <w:pPr>
              <w:pStyle w:val="Tabelid"/>
              <w:jc w:val="right"/>
              <w:cnfStyle w:val="000000000000" w:firstRow="0" w:lastRow="0" w:firstColumn="0" w:lastColumn="0" w:oddVBand="0" w:evenVBand="0" w:oddHBand="0" w:evenHBand="0" w:firstRowFirstColumn="0" w:firstRowLastColumn="0" w:lastRowFirstColumn="0" w:lastRowLastColumn="0"/>
            </w:pPr>
            <w:r w:rsidRPr="00FB26A6">
              <w:rPr>
                <w:color w:val="000000"/>
              </w:rPr>
              <w:t>1,9</w:t>
            </w:r>
          </w:p>
        </w:tc>
      </w:tr>
    </w:tbl>
    <w:p w14:paraId="4E49E2B6" w14:textId="667C4861" w:rsidR="00831AD9" w:rsidRPr="00414819" w:rsidRDefault="00831AD9" w:rsidP="00831AD9">
      <w:pPr>
        <w:pStyle w:val="Phitekst"/>
        <w:rPr>
          <w:highlight w:val="yellow"/>
        </w:rPr>
      </w:pPr>
    </w:p>
    <w:p w14:paraId="59B09F75" w14:textId="5A7AE732" w:rsidR="005C246A" w:rsidRPr="00414819" w:rsidRDefault="005C246A" w:rsidP="00831AD9">
      <w:pPr>
        <w:pStyle w:val="Phitekst"/>
        <w:rPr>
          <w:highlight w:val="yellow"/>
        </w:rPr>
      </w:pPr>
    </w:p>
    <w:p w14:paraId="380449E6" w14:textId="77777777" w:rsidR="005C246A" w:rsidRPr="00414819" w:rsidRDefault="005C246A" w:rsidP="00831AD9">
      <w:pPr>
        <w:pStyle w:val="Phitekst"/>
        <w:rPr>
          <w:highlight w:val="yellow"/>
        </w:rPr>
      </w:pPr>
    </w:p>
    <w:p w14:paraId="038B3816" w14:textId="5EA71FE3" w:rsidR="00831AD9" w:rsidRPr="00671E0C" w:rsidRDefault="00831AD9" w:rsidP="00E54FF2">
      <w:pPr>
        <w:pStyle w:val="Caption"/>
      </w:pPr>
      <w:bookmarkStart w:id="232" w:name="_Ref511149075"/>
      <w:bookmarkStart w:id="233" w:name="_Ref511149082"/>
      <w:bookmarkStart w:id="234" w:name="_Toc511374599"/>
      <w:bookmarkStart w:id="235" w:name="_Toc4502667"/>
      <w:bookmarkStart w:id="236" w:name="_Toc143775549"/>
      <w:r w:rsidRPr="00671E0C">
        <w:lastRenderedPageBreak/>
        <w:t xml:space="preserve">Tabel </w:t>
      </w:r>
      <w:r w:rsidR="004C0EAE">
        <w:fldChar w:fldCharType="begin"/>
      </w:r>
      <w:r w:rsidR="004C0EAE">
        <w:instrText xml:space="preserve"> SEQ Tabel \* ARABIC </w:instrText>
      </w:r>
      <w:r w:rsidR="004C0EAE">
        <w:fldChar w:fldCharType="separate"/>
      </w:r>
      <w:r w:rsidR="008478E8">
        <w:rPr>
          <w:noProof/>
        </w:rPr>
        <w:t>8</w:t>
      </w:r>
      <w:r w:rsidR="004C0EAE">
        <w:rPr>
          <w:noProof/>
        </w:rPr>
        <w:fldChar w:fldCharType="end"/>
      </w:r>
      <w:r w:rsidRPr="00671E0C">
        <w:t>. Tööturu prognoos 202</w:t>
      </w:r>
      <w:r w:rsidR="006117CC" w:rsidRPr="00671E0C">
        <w:t>3</w:t>
      </w:r>
      <w:r w:rsidRPr="00671E0C">
        <w:t>–202</w:t>
      </w:r>
      <w:r w:rsidR="006117CC" w:rsidRPr="00671E0C">
        <w:t>7</w:t>
      </w:r>
      <w:r w:rsidRPr="00671E0C">
        <w:t xml:space="preserve"> (15–74-aastased)</w:t>
      </w:r>
      <w:bookmarkEnd w:id="232"/>
      <w:bookmarkEnd w:id="233"/>
      <w:bookmarkEnd w:id="234"/>
      <w:bookmarkEnd w:id="235"/>
      <w:bookmarkEnd w:id="236"/>
    </w:p>
    <w:tbl>
      <w:tblPr>
        <w:tblStyle w:val="TableSubtle1"/>
        <w:tblW w:w="10376" w:type="dxa"/>
        <w:tblLayout w:type="fixed"/>
        <w:tblLook w:val="00A0" w:firstRow="1" w:lastRow="0" w:firstColumn="1" w:lastColumn="0" w:noHBand="0" w:noVBand="0"/>
      </w:tblPr>
      <w:tblGrid>
        <w:gridCol w:w="2880"/>
        <w:gridCol w:w="937"/>
        <w:gridCol w:w="937"/>
        <w:gridCol w:w="937"/>
        <w:gridCol w:w="937"/>
        <w:gridCol w:w="937"/>
        <w:gridCol w:w="937"/>
        <w:gridCol w:w="937"/>
        <w:gridCol w:w="937"/>
      </w:tblGrid>
      <w:tr w:rsidR="006117CC" w:rsidRPr="00671E0C" w14:paraId="1F7F37EF" w14:textId="77777777" w:rsidTr="00515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EF360EA" w14:textId="77777777" w:rsidR="006117CC" w:rsidRPr="00671E0C" w:rsidRDefault="006117CC" w:rsidP="006117CC">
            <w:pPr>
              <w:pStyle w:val="Tabelid"/>
            </w:pPr>
            <w:r w:rsidRPr="00671E0C">
              <w:t>%</w:t>
            </w:r>
          </w:p>
        </w:tc>
        <w:tc>
          <w:tcPr>
            <w:tcW w:w="937" w:type="dxa"/>
          </w:tcPr>
          <w:p w14:paraId="29D997F9" w14:textId="6EDBA49A"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2011-20</w:t>
            </w:r>
          </w:p>
        </w:tc>
        <w:tc>
          <w:tcPr>
            <w:tcW w:w="937" w:type="dxa"/>
          </w:tcPr>
          <w:p w14:paraId="1BA7F052" w14:textId="615A03CA"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2021</w:t>
            </w:r>
          </w:p>
        </w:tc>
        <w:tc>
          <w:tcPr>
            <w:tcW w:w="937" w:type="dxa"/>
          </w:tcPr>
          <w:p w14:paraId="14BB2A7F" w14:textId="056A4A46"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2022</w:t>
            </w:r>
          </w:p>
        </w:tc>
        <w:tc>
          <w:tcPr>
            <w:tcW w:w="937" w:type="dxa"/>
          </w:tcPr>
          <w:p w14:paraId="6B5A0028" w14:textId="52FA5E24"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2023</w:t>
            </w:r>
          </w:p>
        </w:tc>
        <w:tc>
          <w:tcPr>
            <w:tcW w:w="937" w:type="dxa"/>
          </w:tcPr>
          <w:p w14:paraId="76C4FD4F" w14:textId="48C73CF8"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2024</w:t>
            </w:r>
          </w:p>
        </w:tc>
        <w:tc>
          <w:tcPr>
            <w:tcW w:w="937" w:type="dxa"/>
          </w:tcPr>
          <w:p w14:paraId="7E36A66C" w14:textId="6A877E79"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2025</w:t>
            </w:r>
          </w:p>
        </w:tc>
        <w:tc>
          <w:tcPr>
            <w:tcW w:w="937" w:type="dxa"/>
          </w:tcPr>
          <w:p w14:paraId="119B7EA4" w14:textId="4212C75C"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2026</w:t>
            </w:r>
          </w:p>
        </w:tc>
        <w:tc>
          <w:tcPr>
            <w:tcW w:w="937" w:type="dxa"/>
          </w:tcPr>
          <w:p w14:paraId="1556015E" w14:textId="20543E5B" w:rsidR="006117CC" w:rsidRPr="00671E0C" w:rsidRDefault="006117CC" w:rsidP="006117CC">
            <w:pPr>
              <w:pStyle w:val="Tabelid"/>
              <w:jc w:val="right"/>
              <w:cnfStyle w:val="100000000000" w:firstRow="1" w:lastRow="0" w:firstColumn="0" w:lastColumn="0" w:oddVBand="0" w:evenVBand="0" w:oddHBand="0" w:evenHBand="0" w:firstRowFirstColumn="0" w:firstRowLastColumn="0" w:lastRowFirstColumn="0" w:lastRowLastColumn="0"/>
            </w:pPr>
            <w:r w:rsidRPr="00671E0C">
              <w:t>2027</w:t>
            </w:r>
          </w:p>
        </w:tc>
      </w:tr>
      <w:tr w:rsidR="00671E0C" w:rsidRPr="00671E0C" w14:paraId="27C952E2"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E919BEC" w14:textId="77777777" w:rsidR="00671E0C" w:rsidRPr="00671E0C" w:rsidRDefault="00671E0C" w:rsidP="00671E0C">
            <w:pPr>
              <w:pStyle w:val="Tabelid"/>
              <w:rPr>
                <w:color w:val="000000"/>
              </w:rPr>
            </w:pPr>
            <w:r w:rsidRPr="00671E0C">
              <w:rPr>
                <w:color w:val="000000"/>
              </w:rPr>
              <w:t>1. Tööhõive (tuh inimest)</w:t>
            </w:r>
          </w:p>
        </w:tc>
        <w:tc>
          <w:tcPr>
            <w:tcW w:w="937" w:type="dxa"/>
            <w:vAlign w:val="center"/>
          </w:tcPr>
          <w:p w14:paraId="63178D3D" w14:textId="0AA5B2D2"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639,2</w:t>
            </w:r>
          </w:p>
        </w:tc>
        <w:tc>
          <w:tcPr>
            <w:tcW w:w="937" w:type="dxa"/>
            <w:vAlign w:val="center"/>
          </w:tcPr>
          <w:p w14:paraId="19925B91" w14:textId="07A76B8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650,5</w:t>
            </w:r>
          </w:p>
        </w:tc>
        <w:tc>
          <w:tcPr>
            <w:tcW w:w="937" w:type="dxa"/>
            <w:vAlign w:val="center"/>
          </w:tcPr>
          <w:p w14:paraId="1ECF8D90" w14:textId="6046E25D"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677,4</w:t>
            </w:r>
          </w:p>
        </w:tc>
        <w:tc>
          <w:tcPr>
            <w:tcW w:w="937" w:type="dxa"/>
            <w:vAlign w:val="center"/>
          </w:tcPr>
          <w:p w14:paraId="1B769685" w14:textId="78FD99DF"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684,0</w:t>
            </w:r>
          </w:p>
        </w:tc>
        <w:tc>
          <w:tcPr>
            <w:tcW w:w="937" w:type="dxa"/>
            <w:vAlign w:val="center"/>
          </w:tcPr>
          <w:p w14:paraId="2F79318D" w14:textId="3C764BDE"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686,9</w:t>
            </w:r>
          </w:p>
        </w:tc>
        <w:tc>
          <w:tcPr>
            <w:tcW w:w="937" w:type="dxa"/>
            <w:vAlign w:val="center"/>
          </w:tcPr>
          <w:p w14:paraId="576EC1C4" w14:textId="14A30C75"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687,6</w:t>
            </w:r>
          </w:p>
        </w:tc>
        <w:tc>
          <w:tcPr>
            <w:tcW w:w="937" w:type="dxa"/>
            <w:vAlign w:val="center"/>
          </w:tcPr>
          <w:p w14:paraId="4F0C6A59" w14:textId="7D1A83F6"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688,0</w:t>
            </w:r>
          </w:p>
        </w:tc>
        <w:tc>
          <w:tcPr>
            <w:tcW w:w="937" w:type="dxa"/>
            <w:vAlign w:val="center"/>
          </w:tcPr>
          <w:p w14:paraId="2A58B29F" w14:textId="69CA171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688,0</w:t>
            </w:r>
          </w:p>
        </w:tc>
      </w:tr>
      <w:tr w:rsidR="00671E0C" w:rsidRPr="00671E0C" w14:paraId="5160999D" w14:textId="77777777" w:rsidTr="005D54E4">
        <w:tc>
          <w:tcPr>
            <w:cnfStyle w:val="001000000000" w:firstRow="0" w:lastRow="0" w:firstColumn="1" w:lastColumn="0" w:oddVBand="0" w:evenVBand="0" w:oddHBand="0" w:evenHBand="0" w:firstRowFirstColumn="0" w:firstRowLastColumn="0" w:lastRowFirstColumn="0" w:lastRowLastColumn="0"/>
            <w:tcW w:w="2880" w:type="dxa"/>
          </w:tcPr>
          <w:p w14:paraId="717D68C3" w14:textId="77777777" w:rsidR="00671E0C" w:rsidRPr="00671E0C" w:rsidRDefault="00671E0C" w:rsidP="00671E0C">
            <w:pPr>
              <w:pStyle w:val="Tabelid"/>
              <w:rPr>
                <w:color w:val="000000"/>
              </w:rPr>
            </w:pPr>
            <w:r w:rsidRPr="00671E0C">
              <w:rPr>
                <w:color w:val="000000"/>
              </w:rPr>
              <w:t>1a. Tööhõive kasv</w:t>
            </w:r>
          </w:p>
        </w:tc>
        <w:tc>
          <w:tcPr>
            <w:tcW w:w="937" w:type="dxa"/>
            <w:vAlign w:val="center"/>
          </w:tcPr>
          <w:p w14:paraId="7328F7AC" w14:textId="1F46439E"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1,4</w:t>
            </w:r>
          </w:p>
        </w:tc>
        <w:tc>
          <w:tcPr>
            <w:tcW w:w="937" w:type="dxa"/>
            <w:vAlign w:val="center"/>
          </w:tcPr>
          <w:p w14:paraId="05B284FD" w14:textId="4A970368"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-0,5</w:t>
            </w:r>
          </w:p>
        </w:tc>
        <w:tc>
          <w:tcPr>
            <w:tcW w:w="937" w:type="dxa"/>
            <w:vAlign w:val="center"/>
          </w:tcPr>
          <w:p w14:paraId="2CA488FF" w14:textId="76EC5CBE"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4,1</w:t>
            </w:r>
          </w:p>
        </w:tc>
        <w:tc>
          <w:tcPr>
            <w:tcW w:w="937" w:type="dxa"/>
            <w:vAlign w:val="center"/>
          </w:tcPr>
          <w:p w14:paraId="3F28631F" w14:textId="2304862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1,0</w:t>
            </w:r>
          </w:p>
        </w:tc>
        <w:tc>
          <w:tcPr>
            <w:tcW w:w="937" w:type="dxa"/>
            <w:vAlign w:val="center"/>
          </w:tcPr>
          <w:p w14:paraId="0B6F76DB" w14:textId="316CF2D5"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0,4</w:t>
            </w:r>
          </w:p>
        </w:tc>
        <w:tc>
          <w:tcPr>
            <w:tcW w:w="937" w:type="dxa"/>
            <w:vAlign w:val="center"/>
          </w:tcPr>
          <w:p w14:paraId="4E2F53D3" w14:textId="68F35E39"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0,1</w:t>
            </w:r>
          </w:p>
        </w:tc>
        <w:tc>
          <w:tcPr>
            <w:tcW w:w="937" w:type="dxa"/>
            <w:vAlign w:val="center"/>
          </w:tcPr>
          <w:p w14:paraId="08AF9C33" w14:textId="57B50670"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0,0</w:t>
            </w:r>
          </w:p>
        </w:tc>
        <w:tc>
          <w:tcPr>
            <w:tcW w:w="937" w:type="dxa"/>
            <w:vAlign w:val="center"/>
          </w:tcPr>
          <w:p w14:paraId="5407FC22" w14:textId="5B746F3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0,0</w:t>
            </w:r>
          </w:p>
        </w:tc>
      </w:tr>
      <w:tr w:rsidR="00671E0C" w:rsidRPr="00671E0C" w14:paraId="247BBE70"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55EBDF8" w14:textId="50AC4811" w:rsidR="00671E0C" w:rsidRPr="00671E0C" w:rsidRDefault="00671E0C" w:rsidP="00671E0C">
            <w:pPr>
              <w:pStyle w:val="Tabelid"/>
              <w:rPr>
                <w:color w:val="000000"/>
              </w:rPr>
            </w:pPr>
            <w:r w:rsidRPr="00671E0C">
              <w:rPr>
                <w:color w:val="000000"/>
              </w:rPr>
              <w:t>1b. Tööhõive kasv sõjapõgeniketa</w:t>
            </w:r>
          </w:p>
        </w:tc>
        <w:tc>
          <w:tcPr>
            <w:tcW w:w="937" w:type="dxa"/>
            <w:vAlign w:val="center"/>
          </w:tcPr>
          <w:p w14:paraId="2EAABE18" w14:textId="07220D9D"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 </w:t>
            </w:r>
          </w:p>
        </w:tc>
        <w:tc>
          <w:tcPr>
            <w:tcW w:w="937" w:type="dxa"/>
            <w:vAlign w:val="center"/>
          </w:tcPr>
          <w:p w14:paraId="674B60E1" w14:textId="4A12250D"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 </w:t>
            </w:r>
          </w:p>
        </w:tc>
        <w:tc>
          <w:tcPr>
            <w:tcW w:w="937" w:type="dxa"/>
            <w:vAlign w:val="center"/>
          </w:tcPr>
          <w:p w14:paraId="51D0807D" w14:textId="4C7CB669"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 </w:t>
            </w:r>
          </w:p>
        </w:tc>
        <w:tc>
          <w:tcPr>
            <w:tcW w:w="937" w:type="dxa"/>
            <w:vAlign w:val="center"/>
          </w:tcPr>
          <w:p w14:paraId="46DE12B4" w14:textId="204E75F1"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-0,8</w:t>
            </w:r>
          </w:p>
        </w:tc>
        <w:tc>
          <w:tcPr>
            <w:tcW w:w="937" w:type="dxa"/>
            <w:vAlign w:val="center"/>
          </w:tcPr>
          <w:p w14:paraId="50804E51" w14:textId="50E45B8A"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0,1</w:t>
            </w:r>
          </w:p>
        </w:tc>
        <w:tc>
          <w:tcPr>
            <w:tcW w:w="937" w:type="dxa"/>
            <w:vAlign w:val="center"/>
          </w:tcPr>
          <w:p w14:paraId="65496BD7" w14:textId="728B019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0,0</w:t>
            </w:r>
          </w:p>
        </w:tc>
        <w:tc>
          <w:tcPr>
            <w:tcW w:w="937" w:type="dxa"/>
            <w:vAlign w:val="center"/>
          </w:tcPr>
          <w:p w14:paraId="4CBAFEF5" w14:textId="23AFA665"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0,1</w:t>
            </w:r>
          </w:p>
        </w:tc>
        <w:tc>
          <w:tcPr>
            <w:tcW w:w="937" w:type="dxa"/>
            <w:vAlign w:val="center"/>
          </w:tcPr>
          <w:p w14:paraId="3CD3CD67" w14:textId="2348AD56"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0,0</w:t>
            </w:r>
          </w:p>
        </w:tc>
      </w:tr>
      <w:tr w:rsidR="00671E0C" w:rsidRPr="00671E0C" w14:paraId="6E633F99" w14:textId="77777777" w:rsidTr="005D54E4">
        <w:tc>
          <w:tcPr>
            <w:cnfStyle w:val="001000000000" w:firstRow="0" w:lastRow="0" w:firstColumn="1" w:lastColumn="0" w:oddVBand="0" w:evenVBand="0" w:oddHBand="0" w:evenHBand="0" w:firstRowFirstColumn="0" w:firstRowLastColumn="0" w:lastRowFirstColumn="0" w:lastRowLastColumn="0"/>
            <w:tcW w:w="2880" w:type="dxa"/>
          </w:tcPr>
          <w:p w14:paraId="01F20025" w14:textId="77777777" w:rsidR="00671E0C" w:rsidRPr="00671E0C" w:rsidRDefault="00671E0C" w:rsidP="00671E0C">
            <w:pPr>
              <w:pStyle w:val="Tabelid"/>
              <w:rPr>
                <w:color w:val="000000"/>
              </w:rPr>
            </w:pPr>
            <w:r w:rsidRPr="00671E0C">
              <w:rPr>
                <w:color w:val="000000"/>
              </w:rPr>
              <w:t>2. Tööpuuduse määr</w:t>
            </w:r>
          </w:p>
        </w:tc>
        <w:tc>
          <w:tcPr>
            <w:tcW w:w="937" w:type="dxa"/>
            <w:vAlign w:val="center"/>
          </w:tcPr>
          <w:p w14:paraId="3BFC3254" w14:textId="329FA80E"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7,4</w:t>
            </w:r>
          </w:p>
        </w:tc>
        <w:tc>
          <w:tcPr>
            <w:tcW w:w="937" w:type="dxa"/>
            <w:vAlign w:val="center"/>
          </w:tcPr>
          <w:p w14:paraId="5523A4C5" w14:textId="1B6C249D"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6,2</w:t>
            </w:r>
          </w:p>
        </w:tc>
        <w:tc>
          <w:tcPr>
            <w:tcW w:w="937" w:type="dxa"/>
            <w:vAlign w:val="center"/>
          </w:tcPr>
          <w:p w14:paraId="53750BC2" w14:textId="120E6D04"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5,6</w:t>
            </w:r>
          </w:p>
        </w:tc>
        <w:tc>
          <w:tcPr>
            <w:tcW w:w="937" w:type="dxa"/>
            <w:vAlign w:val="center"/>
          </w:tcPr>
          <w:p w14:paraId="4C50E46C" w14:textId="0FB20648"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6,1</w:t>
            </w:r>
          </w:p>
        </w:tc>
        <w:tc>
          <w:tcPr>
            <w:tcW w:w="937" w:type="dxa"/>
            <w:vAlign w:val="center"/>
          </w:tcPr>
          <w:p w14:paraId="5657DFFF" w14:textId="2C2243F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6,7</w:t>
            </w:r>
          </w:p>
        </w:tc>
        <w:tc>
          <w:tcPr>
            <w:tcW w:w="937" w:type="dxa"/>
            <w:vAlign w:val="center"/>
          </w:tcPr>
          <w:p w14:paraId="04390E89" w14:textId="7F13746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6,4</w:t>
            </w:r>
          </w:p>
        </w:tc>
        <w:tc>
          <w:tcPr>
            <w:tcW w:w="937" w:type="dxa"/>
            <w:vAlign w:val="center"/>
          </w:tcPr>
          <w:p w14:paraId="1BEF4988" w14:textId="380E490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6,2</w:t>
            </w:r>
          </w:p>
        </w:tc>
        <w:tc>
          <w:tcPr>
            <w:tcW w:w="937" w:type="dxa"/>
            <w:vAlign w:val="center"/>
          </w:tcPr>
          <w:p w14:paraId="45E49CE1" w14:textId="627412DD"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6,1</w:t>
            </w:r>
          </w:p>
        </w:tc>
      </w:tr>
      <w:tr w:rsidR="00671E0C" w:rsidRPr="00671E0C" w14:paraId="12220960"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960B9F7" w14:textId="539CF8B9" w:rsidR="00671E0C" w:rsidRPr="00671E0C" w:rsidRDefault="00671E0C" w:rsidP="00671E0C">
            <w:pPr>
              <w:pStyle w:val="Tabelid"/>
              <w:rPr>
                <w:color w:val="000000"/>
              </w:rPr>
            </w:pPr>
            <w:r w:rsidRPr="00671E0C">
              <w:rPr>
                <w:color w:val="000000"/>
              </w:rPr>
              <w:t>2a. Tööpuuduse määr sõjapõgeniketa</w:t>
            </w:r>
          </w:p>
        </w:tc>
        <w:tc>
          <w:tcPr>
            <w:tcW w:w="937" w:type="dxa"/>
            <w:vAlign w:val="center"/>
          </w:tcPr>
          <w:p w14:paraId="5ECAFC9D" w14:textId="3C429D4E"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 </w:t>
            </w:r>
          </w:p>
        </w:tc>
        <w:tc>
          <w:tcPr>
            <w:tcW w:w="937" w:type="dxa"/>
            <w:vAlign w:val="center"/>
          </w:tcPr>
          <w:p w14:paraId="2C4A029B" w14:textId="3537BEF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 </w:t>
            </w:r>
          </w:p>
        </w:tc>
        <w:tc>
          <w:tcPr>
            <w:tcW w:w="937" w:type="dxa"/>
            <w:vAlign w:val="center"/>
          </w:tcPr>
          <w:p w14:paraId="2E52B98B" w14:textId="2D2274D3"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 </w:t>
            </w:r>
          </w:p>
        </w:tc>
        <w:tc>
          <w:tcPr>
            <w:tcW w:w="937" w:type="dxa"/>
            <w:vAlign w:val="center"/>
          </w:tcPr>
          <w:p w14:paraId="36A4DD0B" w14:textId="7FC57F92"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5,8</w:t>
            </w:r>
          </w:p>
        </w:tc>
        <w:tc>
          <w:tcPr>
            <w:tcW w:w="937" w:type="dxa"/>
            <w:vAlign w:val="center"/>
          </w:tcPr>
          <w:p w14:paraId="6DC0B6C6" w14:textId="068869DD"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6,1</w:t>
            </w:r>
          </w:p>
        </w:tc>
        <w:tc>
          <w:tcPr>
            <w:tcW w:w="937" w:type="dxa"/>
            <w:vAlign w:val="center"/>
          </w:tcPr>
          <w:p w14:paraId="1530CA96" w14:textId="73DF1ABE"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5,9</w:t>
            </w:r>
          </w:p>
        </w:tc>
        <w:tc>
          <w:tcPr>
            <w:tcW w:w="937" w:type="dxa"/>
            <w:vAlign w:val="center"/>
          </w:tcPr>
          <w:p w14:paraId="0BD88B53" w14:textId="384038D2"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5,6</w:t>
            </w:r>
          </w:p>
        </w:tc>
        <w:tc>
          <w:tcPr>
            <w:tcW w:w="937" w:type="dxa"/>
            <w:vAlign w:val="center"/>
          </w:tcPr>
          <w:p w14:paraId="0D65B6CA" w14:textId="67ABC1B9"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5,7</w:t>
            </w:r>
          </w:p>
        </w:tc>
      </w:tr>
      <w:tr w:rsidR="00671E0C" w:rsidRPr="00671E0C" w14:paraId="3F1A9ED5" w14:textId="77777777" w:rsidTr="005D54E4">
        <w:tc>
          <w:tcPr>
            <w:cnfStyle w:val="001000000000" w:firstRow="0" w:lastRow="0" w:firstColumn="1" w:lastColumn="0" w:oddVBand="0" w:evenVBand="0" w:oddHBand="0" w:evenHBand="0" w:firstRowFirstColumn="0" w:firstRowLastColumn="0" w:lastRowFirstColumn="0" w:lastRowLastColumn="0"/>
            <w:tcW w:w="2880" w:type="dxa"/>
          </w:tcPr>
          <w:p w14:paraId="708BC4F1" w14:textId="77777777" w:rsidR="00671E0C" w:rsidRPr="00671E0C" w:rsidRDefault="00671E0C" w:rsidP="00671E0C">
            <w:pPr>
              <w:pStyle w:val="Tabelid"/>
              <w:rPr>
                <w:color w:val="000000"/>
              </w:rPr>
            </w:pPr>
            <w:r w:rsidRPr="00671E0C">
              <w:rPr>
                <w:color w:val="000000"/>
              </w:rPr>
              <w:t>3. Tööjõu tootlikkuse kasv (hõivatute arvu järgi)</w:t>
            </w:r>
          </w:p>
        </w:tc>
        <w:tc>
          <w:tcPr>
            <w:tcW w:w="937" w:type="dxa"/>
            <w:vAlign w:val="center"/>
          </w:tcPr>
          <w:p w14:paraId="3D0F5533" w14:textId="32AD5A3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1,8</w:t>
            </w:r>
          </w:p>
        </w:tc>
        <w:tc>
          <w:tcPr>
            <w:tcW w:w="937" w:type="dxa"/>
            <w:vAlign w:val="center"/>
          </w:tcPr>
          <w:p w14:paraId="104464EA" w14:textId="2A38FADC"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7,8</w:t>
            </w:r>
          </w:p>
        </w:tc>
        <w:tc>
          <w:tcPr>
            <w:tcW w:w="937" w:type="dxa"/>
            <w:vAlign w:val="center"/>
          </w:tcPr>
          <w:p w14:paraId="2AE02140" w14:textId="02C4BCCE"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-4,4</w:t>
            </w:r>
          </w:p>
        </w:tc>
        <w:tc>
          <w:tcPr>
            <w:tcW w:w="937" w:type="dxa"/>
            <w:vAlign w:val="center"/>
          </w:tcPr>
          <w:p w14:paraId="73686F96" w14:textId="1EDFABA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-3,0</w:t>
            </w:r>
          </w:p>
        </w:tc>
        <w:tc>
          <w:tcPr>
            <w:tcW w:w="937" w:type="dxa"/>
            <w:vAlign w:val="center"/>
          </w:tcPr>
          <w:p w14:paraId="088DB772" w14:textId="6636179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2,3</w:t>
            </w:r>
          </w:p>
        </w:tc>
        <w:tc>
          <w:tcPr>
            <w:tcW w:w="937" w:type="dxa"/>
            <w:vAlign w:val="center"/>
          </w:tcPr>
          <w:p w14:paraId="3FC33DE5" w14:textId="764B70E0"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2,8</w:t>
            </w:r>
          </w:p>
        </w:tc>
        <w:tc>
          <w:tcPr>
            <w:tcW w:w="937" w:type="dxa"/>
            <w:vAlign w:val="center"/>
          </w:tcPr>
          <w:p w14:paraId="402A5DD9" w14:textId="03CFC6E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2,5</w:t>
            </w:r>
          </w:p>
        </w:tc>
        <w:tc>
          <w:tcPr>
            <w:tcW w:w="937" w:type="dxa"/>
            <w:vAlign w:val="center"/>
          </w:tcPr>
          <w:p w14:paraId="345F17A3" w14:textId="4EF3CAE0"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2,2</w:t>
            </w:r>
          </w:p>
        </w:tc>
      </w:tr>
      <w:tr w:rsidR="00671E0C" w:rsidRPr="00671E0C" w14:paraId="413832E7"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B4C2A51" w14:textId="77777777" w:rsidR="00671E0C" w:rsidRPr="00671E0C" w:rsidRDefault="00671E0C" w:rsidP="00671E0C">
            <w:pPr>
              <w:pStyle w:val="Tabelid"/>
              <w:rPr>
                <w:color w:val="000000"/>
              </w:rPr>
            </w:pPr>
            <w:r w:rsidRPr="00671E0C">
              <w:rPr>
                <w:color w:val="000000"/>
              </w:rPr>
              <w:t>4. Keskmise palga reaalkasv</w:t>
            </w:r>
          </w:p>
        </w:tc>
        <w:tc>
          <w:tcPr>
            <w:tcW w:w="937" w:type="dxa"/>
            <w:vAlign w:val="center"/>
          </w:tcPr>
          <w:p w14:paraId="34005692" w14:textId="0CF27915"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4,2</w:t>
            </w:r>
          </w:p>
        </w:tc>
        <w:tc>
          <w:tcPr>
            <w:tcW w:w="937" w:type="dxa"/>
            <w:vAlign w:val="center"/>
          </w:tcPr>
          <w:p w14:paraId="0C05DD4F" w14:textId="3CA24BC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2,1</w:t>
            </w:r>
          </w:p>
        </w:tc>
        <w:tc>
          <w:tcPr>
            <w:tcW w:w="937" w:type="dxa"/>
            <w:vAlign w:val="center"/>
          </w:tcPr>
          <w:p w14:paraId="5807D100" w14:textId="48F37402"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-6,5</w:t>
            </w:r>
          </w:p>
        </w:tc>
        <w:tc>
          <w:tcPr>
            <w:tcW w:w="937" w:type="dxa"/>
            <w:vAlign w:val="center"/>
          </w:tcPr>
          <w:p w14:paraId="3EE9DAC5" w14:textId="71B67596"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1,5</w:t>
            </w:r>
          </w:p>
        </w:tc>
        <w:tc>
          <w:tcPr>
            <w:tcW w:w="937" w:type="dxa"/>
            <w:vAlign w:val="center"/>
          </w:tcPr>
          <w:p w14:paraId="2C7A9561" w14:textId="02CF6D28"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1,9</w:t>
            </w:r>
          </w:p>
        </w:tc>
        <w:tc>
          <w:tcPr>
            <w:tcW w:w="937" w:type="dxa"/>
            <w:vAlign w:val="center"/>
          </w:tcPr>
          <w:p w14:paraId="75C16D99" w14:textId="625A203F"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2,7</w:t>
            </w:r>
          </w:p>
        </w:tc>
        <w:tc>
          <w:tcPr>
            <w:tcW w:w="937" w:type="dxa"/>
            <w:vAlign w:val="center"/>
          </w:tcPr>
          <w:p w14:paraId="18966BBD" w14:textId="6358D679"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3,1</w:t>
            </w:r>
          </w:p>
        </w:tc>
        <w:tc>
          <w:tcPr>
            <w:tcW w:w="937" w:type="dxa"/>
            <w:vAlign w:val="center"/>
          </w:tcPr>
          <w:p w14:paraId="5DAFED87" w14:textId="534C4C2A"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2,5</w:t>
            </w:r>
          </w:p>
        </w:tc>
      </w:tr>
      <w:tr w:rsidR="00671E0C" w:rsidRPr="00671E0C" w14:paraId="7EDBEDF1" w14:textId="77777777" w:rsidTr="005D54E4">
        <w:tc>
          <w:tcPr>
            <w:cnfStyle w:val="001000000000" w:firstRow="0" w:lastRow="0" w:firstColumn="1" w:lastColumn="0" w:oddVBand="0" w:evenVBand="0" w:oddHBand="0" w:evenHBand="0" w:firstRowFirstColumn="0" w:firstRowLastColumn="0" w:lastRowFirstColumn="0" w:lastRowLastColumn="0"/>
            <w:tcW w:w="2880" w:type="dxa"/>
          </w:tcPr>
          <w:p w14:paraId="2405A01C" w14:textId="77777777" w:rsidR="00671E0C" w:rsidRPr="00671E0C" w:rsidRDefault="00671E0C" w:rsidP="00671E0C">
            <w:pPr>
              <w:pStyle w:val="Tabelid"/>
              <w:rPr>
                <w:color w:val="000000"/>
              </w:rPr>
            </w:pPr>
            <w:r w:rsidRPr="00671E0C">
              <w:rPr>
                <w:color w:val="000000"/>
              </w:rPr>
              <w:t>4a. Keskmine palk (eurot)</w:t>
            </w:r>
          </w:p>
        </w:tc>
        <w:tc>
          <w:tcPr>
            <w:tcW w:w="937" w:type="dxa"/>
            <w:vAlign w:val="center"/>
          </w:tcPr>
          <w:p w14:paraId="06DC23FF" w14:textId="371C528A"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 </w:t>
            </w:r>
          </w:p>
        </w:tc>
        <w:tc>
          <w:tcPr>
            <w:tcW w:w="937" w:type="dxa"/>
            <w:vAlign w:val="center"/>
          </w:tcPr>
          <w:p w14:paraId="465DAE99" w14:textId="4BF9F196"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1 473</w:t>
            </w:r>
          </w:p>
        </w:tc>
        <w:tc>
          <w:tcPr>
            <w:tcW w:w="937" w:type="dxa"/>
            <w:vAlign w:val="center"/>
          </w:tcPr>
          <w:p w14:paraId="13000FEE" w14:textId="32BD699D"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1 645</w:t>
            </w:r>
          </w:p>
        </w:tc>
        <w:tc>
          <w:tcPr>
            <w:tcW w:w="937" w:type="dxa"/>
            <w:vAlign w:val="center"/>
          </w:tcPr>
          <w:p w14:paraId="046FE9F7" w14:textId="5E4CBD4D"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1 828</w:t>
            </w:r>
          </w:p>
        </w:tc>
        <w:tc>
          <w:tcPr>
            <w:tcW w:w="937" w:type="dxa"/>
            <w:vAlign w:val="center"/>
          </w:tcPr>
          <w:p w14:paraId="546F6DAA" w14:textId="47FBE84B"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1 950</w:t>
            </w:r>
          </w:p>
        </w:tc>
        <w:tc>
          <w:tcPr>
            <w:tcW w:w="937" w:type="dxa"/>
            <w:vAlign w:val="center"/>
          </w:tcPr>
          <w:p w14:paraId="51CEF0CB" w14:textId="1CD0063A"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2 053</w:t>
            </w:r>
          </w:p>
        </w:tc>
        <w:tc>
          <w:tcPr>
            <w:tcW w:w="937" w:type="dxa"/>
            <w:vAlign w:val="center"/>
          </w:tcPr>
          <w:p w14:paraId="0AF87404" w14:textId="4FFFCE4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2 153</w:t>
            </w:r>
          </w:p>
        </w:tc>
        <w:tc>
          <w:tcPr>
            <w:tcW w:w="937" w:type="dxa"/>
            <w:vAlign w:val="center"/>
          </w:tcPr>
          <w:p w14:paraId="78876FE0" w14:textId="7D80C743"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671E0C">
              <w:rPr>
                <w:color w:val="000000"/>
              </w:rPr>
              <w:t>2 250</w:t>
            </w:r>
          </w:p>
        </w:tc>
      </w:tr>
      <w:tr w:rsidR="00671E0C" w:rsidRPr="00671E0C" w14:paraId="5F1BE31B" w14:textId="77777777" w:rsidTr="005D54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6442345" w14:textId="77777777" w:rsidR="00671E0C" w:rsidRPr="00671E0C" w:rsidRDefault="00671E0C" w:rsidP="00671E0C">
            <w:pPr>
              <w:pStyle w:val="Tabelid"/>
              <w:rPr>
                <w:color w:val="000000"/>
              </w:rPr>
            </w:pPr>
            <w:r w:rsidRPr="00671E0C">
              <w:rPr>
                <w:color w:val="000000"/>
              </w:rPr>
              <w:t>4b. Keskmise palga nominaalkasv</w:t>
            </w:r>
          </w:p>
        </w:tc>
        <w:tc>
          <w:tcPr>
            <w:tcW w:w="937" w:type="dxa"/>
            <w:vAlign w:val="center"/>
          </w:tcPr>
          <w:p w14:paraId="0F09FD7D" w14:textId="73E108C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6,3</w:t>
            </w:r>
          </w:p>
        </w:tc>
        <w:tc>
          <w:tcPr>
            <w:tcW w:w="937" w:type="dxa"/>
            <w:vAlign w:val="center"/>
          </w:tcPr>
          <w:p w14:paraId="0D4E5BB6" w14:textId="7F5426E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6,8</w:t>
            </w:r>
          </w:p>
        </w:tc>
        <w:tc>
          <w:tcPr>
            <w:tcW w:w="937" w:type="dxa"/>
            <w:vAlign w:val="center"/>
          </w:tcPr>
          <w:p w14:paraId="12210A8B" w14:textId="178EC31D"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11,6</w:t>
            </w:r>
          </w:p>
        </w:tc>
        <w:tc>
          <w:tcPr>
            <w:tcW w:w="937" w:type="dxa"/>
            <w:vAlign w:val="center"/>
          </w:tcPr>
          <w:p w14:paraId="189E3D88" w14:textId="5CA13E67"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11,2</w:t>
            </w:r>
          </w:p>
        </w:tc>
        <w:tc>
          <w:tcPr>
            <w:tcW w:w="937" w:type="dxa"/>
            <w:vAlign w:val="center"/>
          </w:tcPr>
          <w:p w14:paraId="09AB4561" w14:textId="320B20B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6,6</w:t>
            </w:r>
          </w:p>
        </w:tc>
        <w:tc>
          <w:tcPr>
            <w:tcW w:w="937" w:type="dxa"/>
            <w:vAlign w:val="center"/>
          </w:tcPr>
          <w:p w14:paraId="0A914BD8" w14:textId="2B0EA68C"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5,3</w:t>
            </w:r>
          </w:p>
        </w:tc>
        <w:tc>
          <w:tcPr>
            <w:tcW w:w="937" w:type="dxa"/>
            <w:vAlign w:val="center"/>
          </w:tcPr>
          <w:p w14:paraId="03175A64" w14:textId="70C4EF1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4,9</w:t>
            </w:r>
          </w:p>
        </w:tc>
        <w:tc>
          <w:tcPr>
            <w:tcW w:w="937" w:type="dxa"/>
            <w:vAlign w:val="center"/>
          </w:tcPr>
          <w:p w14:paraId="31F3554B" w14:textId="79CD9555"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671E0C">
              <w:rPr>
                <w:color w:val="000000"/>
              </w:rPr>
              <w:t>4,5</w:t>
            </w:r>
          </w:p>
        </w:tc>
      </w:tr>
    </w:tbl>
    <w:p w14:paraId="4BE470E1" w14:textId="77777777" w:rsidR="00831AD9" w:rsidRPr="00671E0C" w:rsidRDefault="00831AD9" w:rsidP="00831AD9">
      <w:pPr>
        <w:pStyle w:val="Phitekst"/>
      </w:pPr>
    </w:p>
    <w:p w14:paraId="15CB3B10" w14:textId="2DD77F95" w:rsidR="00831AD9" w:rsidRPr="00671E0C" w:rsidRDefault="00831AD9" w:rsidP="00E54FF2">
      <w:pPr>
        <w:pStyle w:val="Caption"/>
      </w:pPr>
      <w:bookmarkStart w:id="237" w:name="_Toc511374600"/>
      <w:bookmarkStart w:id="238" w:name="_Toc4502668"/>
      <w:bookmarkStart w:id="239" w:name="_Toc143775550"/>
      <w:r w:rsidRPr="0080016B">
        <w:t xml:space="preserve">Tabel </w:t>
      </w:r>
      <w:r w:rsidR="004C0EAE">
        <w:fldChar w:fldCharType="begin"/>
      </w:r>
      <w:r w:rsidR="004C0EAE">
        <w:instrText xml:space="preserve"> SEQ Tabel \* ARABIC </w:instrText>
      </w:r>
      <w:r w:rsidR="004C0EAE">
        <w:fldChar w:fldCharType="separate"/>
      </w:r>
      <w:r w:rsidR="008478E8">
        <w:rPr>
          <w:noProof/>
        </w:rPr>
        <w:t>9</w:t>
      </w:r>
      <w:r w:rsidR="004C0EAE">
        <w:rPr>
          <w:noProof/>
        </w:rPr>
        <w:fldChar w:fldCharType="end"/>
      </w:r>
      <w:r w:rsidRPr="0080016B">
        <w:t>. Maksebilansi prognoos 202</w:t>
      </w:r>
      <w:r w:rsidR="006117CC" w:rsidRPr="0080016B">
        <w:t>3</w:t>
      </w:r>
      <w:r w:rsidRPr="0080016B">
        <w:t>–202</w:t>
      </w:r>
      <w:bookmarkEnd w:id="237"/>
      <w:bookmarkEnd w:id="238"/>
      <w:r w:rsidR="006117CC" w:rsidRPr="0080016B">
        <w:t>7</w:t>
      </w:r>
      <w:bookmarkEnd w:id="239"/>
    </w:p>
    <w:tbl>
      <w:tblPr>
        <w:tblStyle w:val="TableSubtle1"/>
        <w:tblW w:w="10376" w:type="dxa"/>
        <w:tblLayout w:type="fixed"/>
        <w:tblLook w:val="00A0" w:firstRow="1" w:lastRow="0" w:firstColumn="1" w:lastColumn="0" w:noHBand="0" w:noVBand="0"/>
      </w:tblPr>
      <w:tblGrid>
        <w:gridCol w:w="2880"/>
        <w:gridCol w:w="937"/>
        <w:gridCol w:w="937"/>
        <w:gridCol w:w="937"/>
        <w:gridCol w:w="937"/>
        <w:gridCol w:w="937"/>
        <w:gridCol w:w="937"/>
        <w:gridCol w:w="937"/>
        <w:gridCol w:w="937"/>
      </w:tblGrid>
      <w:tr w:rsidR="006117CC" w:rsidRPr="00671E0C" w14:paraId="25AD6D02" w14:textId="77777777" w:rsidTr="00515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0A587B1" w14:textId="77777777" w:rsidR="006117CC" w:rsidRPr="00671E0C" w:rsidRDefault="006117CC" w:rsidP="006117CC">
            <w:pPr>
              <w:pStyle w:val="Tabelid"/>
            </w:pPr>
            <w:r w:rsidRPr="00671E0C">
              <w:t>% SKPst</w:t>
            </w:r>
          </w:p>
        </w:tc>
        <w:tc>
          <w:tcPr>
            <w:tcW w:w="937" w:type="dxa"/>
          </w:tcPr>
          <w:p w14:paraId="59535197" w14:textId="4E0CD1F4"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2011-20</w:t>
            </w:r>
          </w:p>
        </w:tc>
        <w:tc>
          <w:tcPr>
            <w:tcW w:w="937" w:type="dxa"/>
          </w:tcPr>
          <w:p w14:paraId="6C6DE1D9" w14:textId="01E93BCE"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2021</w:t>
            </w:r>
          </w:p>
        </w:tc>
        <w:tc>
          <w:tcPr>
            <w:tcW w:w="937" w:type="dxa"/>
          </w:tcPr>
          <w:p w14:paraId="4E7E336C" w14:textId="25FF7A7B"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2022</w:t>
            </w:r>
          </w:p>
        </w:tc>
        <w:tc>
          <w:tcPr>
            <w:tcW w:w="937" w:type="dxa"/>
          </w:tcPr>
          <w:p w14:paraId="5A879E29" w14:textId="11E56338"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2023</w:t>
            </w:r>
          </w:p>
        </w:tc>
        <w:tc>
          <w:tcPr>
            <w:tcW w:w="937" w:type="dxa"/>
          </w:tcPr>
          <w:p w14:paraId="1FCB6243" w14:textId="57829F2F"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2024</w:t>
            </w:r>
          </w:p>
        </w:tc>
        <w:tc>
          <w:tcPr>
            <w:tcW w:w="937" w:type="dxa"/>
          </w:tcPr>
          <w:p w14:paraId="5885763C" w14:textId="2D2D76EB"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2025</w:t>
            </w:r>
          </w:p>
        </w:tc>
        <w:tc>
          <w:tcPr>
            <w:tcW w:w="937" w:type="dxa"/>
          </w:tcPr>
          <w:p w14:paraId="1315CA18" w14:textId="315976DC"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2026</w:t>
            </w:r>
          </w:p>
        </w:tc>
        <w:tc>
          <w:tcPr>
            <w:tcW w:w="937" w:type="dxa"/>
          </w:tcPr>
          <w:p w14:paraId="45F6BC95" w14:textId="1A2E402C" w:rsidR="006117CC" w:rsidRPr="00671E0C" w:rsidRDefault="006117CC" w:rsidP="006117CC">
            <w:pPr>
              <w:pStyle w:val="Tabelid"/>
              <w:cnfStyle w:val="100000000000" w:firstRow="1" w:lastRow="0" w:firstColumn="0" w:lastColumn="0" w:oddVBand="0" w:evenVBand="0" w:oddHBand="0" w:evenHBand="0" w:firstRowFirstColumn="0" w:firstRowLastColumn="0" w:lastRowFirstColumn="0" w:lastRowLastColumn="0"/>
            </w:pPr>
            <w:r w:rsidRPr="00671E0C">
              <w:t>2027</w:t>
            </w:r>
          </w:p>
        </w:tc>
      </w:tr>
      <w:tr w:rsidR="00671E0C" w:rsidRPr="00671E0C" w14:paraId="3123534F" w14:textId="77777777" w:rsidTr="00ED6AC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880" w:type="dxa"/>
          </w:tcPr>
          <w:p w14:paraId="093BA725" w14:textId="77777777" w:rsidR="00671E0C" w:rsidRPr="00671E0C" w:rsidRDefault="00671E0C" w:rsidP="00671E0C">
            <w:pPr>
              <w:pStyle w:val="Tabelid"/>
              <w:rPr>
                <w:color w:val="000000"/>
              </w:rPr>
            </w:pPr>
            <w:r w:rsidRPr="00671E0C">
              <w:rPr>
                <w:color w:val="000000"/>
              </w:rPr>
              <w:t>1. Võlgnevus välismaailma suhtes</w:t>
            </w:r>
          </w:p>
        </w:tc>
        <w:tc>
          <w:tcPr>
            <w:tcW w:w="937" w:type="dxa"/>
            <w:vAlign w:val="center"/>
          </w:tcPr>
          <w:p w14:paraId="5087D982" w14:textId="31DC5657"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2,8</w:t>
            </w:r>
          </w:p>
        </w:tc>
        <w:tc>
          <w:tcPr>
            <w:tcW w:w="937" w:type="dxa"/>
            <w:vAlign w:val="center"/>
          </w:tcPr>
          <w:p w14:paraId="06B02A5E" w14:textId="478C7A63"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7,2</w:t>
            </w:r>
          </w:p>
        </w:tc>
        <w:tc>
          <w:tcPr>
            <w:tcW w:w="937" w:type="dxa"/>
            <w:vAlign w:val="center"/>
          </w:tcPr>
          <w:p w14:paraId="2F561F55" w14:textId="793051E7"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-2,5</w:t>
            </w:r>
          </w:p>
        </w:tc>
        <w:tc>
          <w:tcPr>
            <w:tcW w:w="937" w:type="dxa"/>
            <w:vAlign w:val="center"/>
          </w:tcPr>
          <w:p w14:paraId="15FCC8C9" w14:textId="4C7D8DCE"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1,3</w:t>
            </w:r>
          </w:p>
        </w:tc>
        <w:tc>
          <w:tcPr>
            <w:tcW w:w="937" w:type="dxa"/>
            <w:vAlign w:val="center"/>
          </w:tcPr>
          <w:p w14:paraId="1DAF96BF" w14:textId="69A66FC9"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2,3</w:t>
            </w:r>
          </w:p>
        </w:tc>
        <w:tc>
          <w:tcPr>
            <w:tcW w:w="937" w:type="dxa"/>
            <w:vAlign w:val="center"/>
          </w:tcPr>
          <w:p w14:paraId="7436DB0D" w14:textId="024AC54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1,7</w:t>
            </w:r>
          </w:p>
        </w:tc>
        <w:tc>
          <w:tcPr>
            <w:tcW w:w="937" w:type="dxa"/>
            <w:vAlign w:val="center"/>
          </w:tcPr>
          <w:p w14:paraId="777E6E5E" w14:textId="79AF1E4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2,1</w:t>
            </w:r>
          </w:p>
        </w:tc>
        <w:tc>
          <w:tcPr>
            <w:tcW w:w="937" w:type="dxa"/>
            <w:vAlign w:val="center"/>
          </w:tcPr>
          <w:p w14:paraId="485CF4AC" w14:textId="035E358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2,6</w:t>
            </w:r>
          </w:p>
        </w:tc>
      </w:tr>
      <w:tr w:rsidR="00671E0C" w:rsidRPr="00671E0C" w14:paraId="045AA343" w14:textId="77777777" w:rsidTr="00ED6AC4">
        <w:tc>
          <w:tcPr>
            <w:cnfStyle w:val="001000000000" w:firstRow="0" w:lastRow="0" w:firstColumn="1" w:lastColumn="0" w:oddVBand="0" w:evenVBand="0" w:oddHBand="0" w:evenHBand="0" w:firstRowFirstColumn="0" w:firstRowLastColumn="0" w:lastRowFirstColumn="0" w:lastRowLastColumn="0"/>
            <w:tcW w:w="2880" w:type="dxa"/>
          </w:tcPr>
          <w:p w14:paraId="333FDBF6" w14:textId="77777777" w:rsidR="00671E0C" w:rsidRPr="00671E0C" w:rsidRDefault="00671E0C" w:rsidP="00671E0C">
            <w:pPr>
              <w:pStyle w:val="Tabelid"/>
              <w:rPr>
                <w:color w:val="000000"/>
              </w:rPr>
            </w:pPr>
            <w:r w:rsidRPr="00671E0C">
              <w:rPr>
                <w:color w:val="000000"/>
              </w:rPr>
              <w:t>1a. Jooksevkonto</w:t>
            </w:r>
          </w:p>
        </w:tc>
        <w:tc>
          <w:tcPr>
            <w:tcW w:w="937" w:type="dxa"/>
            <w:vAlign w:val="center"/>
          </w:tcPr>
          <w:p w14:paraId="33E6332D" w14:textId="6C5458DD"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0,8</w:t>
            </w:r>
          </w:p>
        </w:tc>
        <w:tc>
          <w:tcPr>
            <w:tcW w:w="937" w:type="dxa"/>
            <w:vAlign w:val="center"/>
          </w:tcPr>
          <w:p w14:paraId="214611C7" w14:textId="4C100767"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-1,8</w:t>
            </w:r>
          </w:p>
        </w:tc>
        <w:tc>
          <w:tcPr>
            <w:tcW w:w="937" w:type="dxa"/>
            <w:vAlign w:val="center"/>
          </w:tcPr>
          <w:p w14:paraId="1824BD43" w14:textId="70EA978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-2,9</w:t>
            </w:r>
          </w:p>
        </w:tc>
        <w:tc>
          <w:tcPr>
            <w:tcW w:w="937" w:type="dxa"/>
            <w:vAlign w:val="center"/>
          </w:tcPr>
          <w:p w14:paraId="547D6F22" w14:textId="42F5A67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-0,6</w:t>
            </w:r>
          </w:p>
        </w:tc>
        <w:tc>
          <w:tcPr>
            <w:tcW w:w="937" w:type="dxa"/>
            <w:vAlign w:val="center"/>
          </w:tcPr>
          <w:p w14:paraId="6B1D433D" w14:textId="7733372A"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0,5</w:t>
            </w:r>
          </w:p>
        </w:tc>
        <w:tc>
          <w:tcPr>
            <w:tcW w:w="937" w:type="dxa"/>
            <w:vAlign w:val="center"/>
          </w:tcPr>
          <w:p w14:paraId="5CA97DD5" w14:textId="3DF1702B"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0,0</w:t>
            </w:r>
          </w:p>
        </w:tc>
        <w:tc>
          <w:tcPr>
            <w:tcW w:w="937" w:type="dxa"/>
            <w:vAlign w:val="center"/>
          </w:tcPr>
          <w:p w14:paraId="6D4D4C30" w14:textId="3D678A5E"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0,2</w:t>
            </w:r>
          </w:p>
        </w:tc>
        <w:tc>
          <w:tcPr>
            <w:tcW w:w="937" w:type="dxa"/>
            <w:vAlign w:val="center"/>
          </w:tcPr>
          <w:p w14:paraId="4970B849" w14:textId="0DCE892D"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0,7</w:t>
            </w:r>
          </w:p>
        </w:tc>
      </w:tr>
      <w:tr w:rsidR="00671E0C" w:rsidRPr="00671E0C" w14:paraId="2EF562A5" w14:textId="77777777" w:rsidTr="00675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435F38B" w14:textId="77777777" w:rsidR="00671E0C" w:rsidRPr="00671E0C" w:rsidRDefault="00671E0C" w:rsidP="00671E0C">
            <w:pPr>
              <w:pStyle w:val="Tabelid"/>
              <w:rPr>
                <w:color w:val="000000"/>
              </w:rPr>
            </w:pPr>
            <w:r w:rsidRPr="00671E0C">
              <w:rPr>
                <w:color w:val="000000"/>
              </w:rPr>
              <w:t>2. Kaupade ja teenuste bilanss</w:t>
            </w:r>
          </w:p>
        </w:tc>
        <w:tc>
          <w:tcPr>
            <w:tcW w:w="937" w:type="dxa"/>
            <w:vAlign w:val="center"/>
          </w:tcPr>
          <w:p w14:paraId="44CCE9CC" w14:textId="5DA74A71"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3,2</w:t>
            </w:r>
          </w:p>
        </w:tc>
        <w:tc>
          <w:tcPr>
            <w:tcW w:w="937" w:type="dxa"/>
            <w:vAlign w:val="center"/>
          </w:tcPr>
          <w:p w14:paraId="043209D6" w14:textId="25128BCE"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-0,4</w:t>
            </w:r>
          </w:p>
        </w:tc>
        <w:tc>
          <w:tcPr>
            <w:tcW w:w="937" w:type="dxa"/>
            <w:vAlign w:val="center"/>
          </w:tcPr>
          <w:p w14:paraId="0EAFF83D" w14:textId="77DA4147"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-0,6</w:t>
            </w:r>
          </w:p>
        </w:tc>
        <w:tc>
          <w:tcPr>
            <w:tcW w:w="937" w:type="dxa"/>
            <w:vAlign w:val="center"/>
          </w:tcPr>
          <w:p w14:paraId="0FD2F70F" w14:textId="2D13ADE4"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1,2</w:t>
            </w:r>
          </w:p>
        </w:tc>
        <w:tc>
          <w:tcPr>
            <w:tcW w:w="937" w:type="dxa"/>
            <w:vAlign w:val="center"/>
          </w:tcPr>
          <w:p w14:paraId="2B5CA516" w14:textId="701947A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2,6</w:t>
            </w:r>
          </w:p>
        </w:tc>
        <w:tc>
          <w:tcPr>
            <w:tcW w:w="937" w:type="dxa"/>
            <w:vAlign w:val="center"/>
          </w:tcPr>
          <w:p w14:paraId="1C35FE08" w14:textId="55E971BB"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2,1</w:t>
            </w:r>
          </w:p>
        </w:tc>
        <w:tc>
          <w:tcPr>
            <w:tcW w:w="937" w:type="dxa"/>
            <w:vAlign w:val="center"/>
          </w:tcPr>
          <w:p w14:paraId="5E5F45DB" w14:textId="24F6E39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2,4</w:t>
            </w:r>
          </w:p>
        </w:tc>
        <w:tc>
          <w:tcPr>
            <w:tcW w:w="937" w:type="dxa"/>
            <w:vAlign w:val="center"/>
          </w:tcPr>
          <w:p w14:paraId="0807D14E" w14:textId="37194BBA"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3,1</w:t>
            </w:r>
          </w:p>
        </w:tc>
      </w:tr>
      <w:tr w:rsidR="00671E0C" w:rsidRPr="00671E0C" w14:paraId="18339F9D" w14:textId="77777777" w:rsidTr="0067524A">
        <w:tc>
          <w:tcPr>
            <w:cnfStyle w:val="001000000000" w:firstRow="0" w:lastRow="0" w:firstColumn="1" w:lastColumn="0" w:oddVBand="0" w:evenVBand="0" w:oddHBand="0" w:evenHBand="0" w:firstRowFirstColumn="0" w:firstRowLastColumn="0" w:lastRowFirstColumn="0" w:lastRowLastColumn="0"/>
            <w:tcW w:w="2880" w:type="dxa"/>
          </w:tcPr>
          <w:p w14:paraId="16D62E75" w14:textId="77777777" w:rsidR="00671E0C" w:rsidRPr="00671E0C" w:rsidRDefault="00671E0C" w:rsidP="00671E0C">
            <w:pPr>
              <w:pStyle w:val="Tabelid"/>
              <w:rPr>
                <w:color w:val="000000"/>
              </w:rPr>
            </w:pPr>
            <w:r w:rsidRPr="00671E0C">
              <w:rPr>
                <w:color w:val="000000"/>
              </w:rPr>
              <w:t>3. Esmase ja teisese tulu bilanss</w:t>
            </w:r>
          </w:p>
        </w:tc>
        <w:tc>
          <w:tcPr>
            <w:tcW w:w="937" w:type="dxa"/>
            <w:vAlign w:val="center"/>
          </w:tcPr>
          <w:p w14:paraId="31C1022A" w14:textId="6642C0B7"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-2,4</w:t>
            </w:r>
          </w:p>
        </w:tc>
        <w:tc>
          <w:tcPr>
            <w:tcW w:w="937" w:type="dxa"/>
            <w:vAlign w:val="center"/>
          </w:tcPr>
          <w:p w14:paraId="547CDFEC" w14:textId="472FF37A"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-1,4</w:t>
            </w:r>
          </w:p>
        </w:tc>
        <w:tc>
          <w:tcPr>
            <w:tcW w:w="937" w:type="dxa"/>
            <w:vAlign w:val="center"/>
          </w:tcPr>
          <w:p w14:paraId="55A73255" w14:textId="2AE8ADAC"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-2,3</w:t>
            </w:r>
          </w:p>
        </w:tc>
        <w:tc>
          <w:tcPr>
            <w:tcW w:w="937" w:type="dxa"/>
            <w:vAlign w:val="center"/>
          </w:tcPr>
          <w:p w14:paraId="0A42B94E" w14:textId="3F727504"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-1,8</w:t>
            </w:r>
          </w:p>
        </w:tc>
        <w:tc>
          <w:tcPr>
            <w:tcW w:w="937" w:type="dxa"/>
            <w:vAlign w:val="center"/>
          </w:tcPr>
          <w:p w14:paraId="3CCB9152" w14:textId="0754D510"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-2,2</w:t>
            </w:r>
          </w:p>
        </w:tc>
        <w:tc>
          <w:tcPr>
            <w:tcW w:w="937" w:type="dxa"/>
            <w:vAlign w:val="center"/>
          </w:tcPr>
          <w:p w14:paraId="6892C22A" w14:textId="7D25E388"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-2,1</w:t>
            </w:r>
          </w:p>
        </w:tc>
        <w:tc>
          <w:tcPr>
            <w:tcW w:w="937" w:type="dxa"/>
            <w:vAlign w:val="center"/>
          </w:tcPr>
          <w:p w14:paraId="612FBB1E" w14:textId="023D3338"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-2,2</w:t>
            </w:r>
          </w:p>
        </w:tc>
        <w:tc>
          <w:tcPr>
            <w:tcW w:w="937" w:type="dxa"/>
            <w:vAlign w:val="center"/>
          </w:tcPr>
          <w:p w14:paraId="7F2A6362" w14:textId="0DEE72C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-2,4</w:t>
            </w:r>
          </w:p>
        </w:tc>
      </w:tr>
      <w:tr w:rsidR="00671E0C" w:rsidRPr="00414819" w14:paraId="7C592091" w14:textId="77777777" w:rsidTr="00675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F7F0B00" w14:textId="77777777" w:rsidR="00671E0C" w:rsidRPr="00671E0C" w:rsidRDefault="00671E0C" w:rsidP="00671E0C">
            <w:pPr>
              <w:pStyle w:val="Tabelid"/>
              <w:rPr>
                <w:color w:val="000000"/>
              </w:rPr>
            </w:pPr>
            <w:r w:rsidRPr="00671E0C">
              <w:rPr>
                <w:color w:val="000000"/>
              </w:rPr>
              <w:t>4. Kapitalikonto</w:t>
            </w:r>
          </w:p>
        </w:tc>
        <w:tc>
          <w:tcPr>
            <w:tcW w:w="937" w:type="dxa"/>
            <w:vAlign w:val="center"/>
          </w:tcPr>
          <w:p w14:paraId="17D5C4FC" w14:textId="32065DF8"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2,0</w:t>
            </w:r>
          </w:p>
        </w:tc>
        <w:tc>
          <w:tcPr>
            <w:tcW w:w="937" w:type="dxa"/>
            <w:vAlign w:val="center"/>
          </w:tcPr>
          <w:p w14:paraId="7EF2C40C" w14:textId="410E393E"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9,0</w:t>
            </w:r>
          </w:p>
        </w:tc>
        <w:tc>
          <w:tcPr>
            <w:tcW w:w="937" w:type="dxa"/>
            <w:vAlign w:val="center"/>
          </w:tcPr>
          <w:p w14:paraId="4257EBA8" w14:textId="57B7AB34"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0,4</w:t>
            </w:r>
          </w:p>
        </w:tc>
        <w:tc>
          <w:tcPr>
            <w:tcW w:w="937" w:type="dxa"/>
            <w:vAlign w:val="center"/>
          </w:tcPr>
          <w:p w14:paraId="41F86A11" w14:textId="1326640F"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1,9</w:t>
            </w:r>
          </w:p>
        </w:tc>
        <w:tc>
          <w:tcPr>
            <w:tcW w:w="937" w:type="dxa"/>
            <w:vAlign w:val="center"/>
          </w:tcPr>
          <w:p w14:paraId="7209E670" w14:textId="283A38F7"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1,9</w:t>
            </w:r>
          </w:p>
        </w:tc>
        <w:tc>
          <w:tcPr>
            <w:tcW w:w="937" w:type="dxa"/>
            <w:vAlign w:val="center"/>
          </w:tcPr>
          <w:p w14:paraId="00DA55D8" w14:textId="38D77958"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1,7</w:t>
            </w:r>
          </w:p>
        </w:tc>
        <w:tc>
          <w:tcPr>
            <w:tcW w:w="937" w:type="dxa"/>
            <w:vAlign w:val="center"/>
          </w:tcPr>
          <w:p w14:paraId="531BFC62" w14:textId="4EE72C72"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1,9</w:t>
            </w:r>
          </w:p>
        </w:tc>
        <w:tc>
          <w:tcPr>
            <w:tcW w:w="937" w:type="dxa"/>
            <w:vAlign w:val="center"/>
          </w:tcPr>
          <w:p w14:paraId="73AE2F4A" w14:textId="5B6AB765"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1,9</w:t>
            </w:r>
          </w:p>
        </w:tc>
      </w:tr>
      <w:tr w:rsidR="008223C5" w:rsidRPr="00414819" w14:paraId="12E4EABD" w14:textId="77777777" w:rsidTr="00941437">
        <w:tc>
          <w:tcPr>
            <w:cnfStyle w:val="001000000000" w:firstRow="0" w:lastRow="0" w:firstColumn="1" w:lastColumn="0" w:oddVBand="0" w:evenVBand="0" w:oddHBand="0" w:evenHBand="0" w:firstRowFirstColumn="0" w:firstRowLastColumn="0" w:lastRowFirstColumn="0" w:lastRowLastColumn="0"/>
            <w:tcW w:w="2880" w:type="dxa"/>
          </w:tcPr>
          <w:p w14:paraId="02435018" w14:textId="77777777" w:rsidR="008223C5" w:rsidRPr="0080016B" w:rsidRDefault="008223C5" w:rsidP="008223C5">
            <w:pPr>
              <w:pStyle w:val="Tabelid"/>
              <w:rPr>
                <w:color w:val="000000"/>
              </w:rPr>
            </w:pPr>
            <w:r w:rsidRPr="0080016B">
              <w:rPr>
                <w:color w:val="000000"/>
              </w:rPr>
              <w:t>5. Vead ja täpsustused</w:t>
            </w:r>
          </w:p>
        </w:tc>
        <w:tc>
          <w:tcPr>
            <w:tcW w:w="937" w:type="dxa"/>
            <w:vAlign w:val="center"/>
          </w:tcPr>
          <w:p w14:paraId="6B644E1B" w14:textId="2DCB392C" w:rsidR="008223C5" w:rsidRPr="0080016B" w:rsidRDefault="008223C5" w:rsidP="008223C5">
            <w:pPr>
              <w:pStyle w:val="Tabelid"/>
              <w:jc w:val="right"/>
              <w:cnfStyle w:val="000000000000" w:firstRow="0" w:lastRow="0" w:firstColumn="0" w:lastColumn="0" w:oddVBand="0" w:evenVBand="0" w:oddHBand="0" w:evenHBand="0" w:firstRowFirstColumn="0" w:firstRowLastColumn="0" w:lastRowFirstColumn="0" w:lastRowLastColumn="0"/>
            </w:pPr>
            <w:r w:rsidRPr="0080016B">
              <w:t>-0,1</w:t>
            </w:r>
          </w:p>
        </w:tc>
        <w:tc>
          <w:tcPr>
            <w:tcW w:w="937" w:type="dxa"/>
            <w:vAlign w:val="center"/>
          </w:tcPr>
          <w:p w14:paraId="02155428" w14:textId="685D246C" w:rsidR="008223C5" w:rsidRPr="0080016B" w:rsidRDefault="008223C5" w:rsidP="008223C5">
            <w:pPr>
              <w:pStyle w:val="Tabelid"/>
              <w:jc w:val="right"/>
              <w:cnfStyle w:val="000000000000" w:firstRow="0" w:lastRow="0" w:firstColumn="0" w:lastColumn="0" w:oddVBand="0" w:evenVBand="0" w:oddHBand="0" w:evenHBand="0" w:firstRowFirstColumn="0" w:firstRowLastColumn="0" w:lastRowFirstColumn="0" w:lastRowLastColumn="0"/>
            </w:pPr>
            <w:r w:rsidRPr="0080016B">
              <w:t>-0,9</w:t>
            </w:r>
          </w:p>
        </w:tc>
        <w:tc>
          <w:tcPr>
            <w:tcW w:w="937" w:type="dxa"/>
            <w:vAlign w:val="center"/>
          </w:tcPr>
          <w:p w14:paraId="074A2DC5" w14:textId="1EB6350F" w:rsidR="008223C5" w:rsidRPr="0080016B" w:rsidRDefault="008223C5" w:rsidP="008223C5">
            <w:pPr>
              <w:pStyle w:val="Tabelid"/>
              <w:jc w:val="right"/>
              <w:cnfStyle w:val="000000000000" w:firstRow="0" w:lastRow="0" w:firstColumn="0" w:lastColumn="0" w:oddVBand="0" w:evenVBand="0" w:oddHBand="0" w:evenHBand="0" w:firstRowFirstColumn="0" w:firstRowLastColumn="0" w:lastRowFirstColumn="0" w:lastRowLastColumn="0"/>
            </w:pPr>
            <w:r w:rsidRPr="0080016B">
              <w:t>-1,</w:t>
            </w:r>
            <w:r w:rsidR="0080016B" w:rsidRPr="0080016B">
              <w:t>2</w:t>
            </w:r>
          </w:p>
        </w:tc>
        <w:tc>
          <w:tcPr>
            <w:tcW w:w="937" w:type="dxa"/>
            <w:vAlign w:val="center"/>
          </w:tcPr>
          <w:p w14:paraId="43CA8AA0" w14:textId="5A41930A" w:rsidR="008223C5" w:rsidRPr="0080016B" w:rsidRDefault="008223C5" w:rsidP="008223C5">
            <w:pPr>
              <w:pStyle w:val="Tabelid"/>
              <w:cnfStyle w:val="000000000000" w:firstRow="0" w:lastRow="0" w:firstColumn="0" w:lastColumn="0" w:oddVBand="0" w:evenVBand="0" w:oddHBand="0" w:evenHBand="0" w:firstRowFirstColumn="0" w:firstRowLastColumn="0" w:lastRowFirstColumn="0" w:lastRowLastColumn="0"/>
            </w:pPr>
            <w:r w:rsidRPr="0080016B">
              <w:t> </w:t>
            </w:r>
          </w:p>
        </w:tc>
        <w:tc>
          <w:tcPr>
            <w:tcW w:w="937" w:type="dxa"/>
            <w:vAlign w:val="center"/>
          </w:tcPr>
          <w:p w14:paraId="4C350577" w14:textId="20B2CF3C" w:rsidR="008223C5" w:rsidRPr="0080016B" w:rsidRDefault="008223C5" w:rsidP="008223C5">
            <w:pPr>
              <w:pStyle w:val="Tabelid"/>
              <w:cnfStyle w:val="000000000000" w:firstRow="0" w:lastRow="0" w:firstColumn="0" w:lastColumn="0" w:oddVBand="0" w:evenVBand="0" w:oddHBand="0" w:evenHBand="0" w:firstRowFirstColumn="0" w:firstRowLastColumn="0" w:lastRowFirstColumn="0" w:lastRowLastColumn="0"/>
            </w:pPr>
            <w:r w:rsidRPr="0080016B">
              <w:t> </w:t>
            </w:r>
          </w:p>
        </w:tc>
        <w:tc>
          <w:tcPr>
            <w:tcW w:w="937" w:type="dxa"/>
            <w:vAlign w:val="center"/>
          </w:tcPr>
          <w:p w14:paraId="291F7F9F" w14:textId="06C4FA28" w:rsidR="008223C5" w:rsidRPr="0080016B" w:rsidRDefault="008223C5" w:rsidP="008223C5">
            <w:pPr>
              <w:pStyle w:val="Tabelid"/>
              <w:cnfStyle w:val="000000000000" w:firstRow="0" w:lastRow="0" w:firstColumn="0" w:lastColumn="0" w:oddVBand="0" w:evenVBand="0" w:oddHBand="0" w:evenHBand="0" w:firstRowFirstColumn="0" w:firstRowLastColumn="0" w:lastRowFirstColumn="0" w:lastRowLastColumn="0"/>
            </w:pPr>
            <w:r w:rsidRPr="0080016B">
              <w:t> </w:t>
            </w:r>
          </w:p>
        </w:tc>
        <w:tc>
          <w:tcPr>
            <w:tcW w:w="937" w:type="dxa"/>
            <w:vAlign w:val="center"/>
          </w:tcPr>
          <w:p w14:paraId="386FC4FD" w14:textId="4DBD7D56" w:rsidR="008223C5" w:rsidRPr="0080016B" w:rsidRDefault="008223C5" w:rsidP="008223C5">
            <w:pPr>
              <w:pStyle w:val="Tabelid"/>
              <w:cnfStyle w:val="000000000000" w:firstRow="0" w:lastRow="0" w:firstColumn="0" w:lastColumn="0" w:oddVBand="0" w:evenVBand="0" w:oddHBand="0" w:evenHBand="0" w:firstRowFirstColumn="0" w:firstRowLastColumn="0" w:lastRowFirstColumn="0" w:lastRowLastColumn="0"/>
            </w:pPr>
            <w:r w:rsidRPr="0080016B">
              <w:t> </w:t>
            </w:r>
          </w:p>
        </w:tc>
        <w:tc>
          <w:tcPr>
            <w:tcW w:w="937" w:type="dxa"/>
            <w:vAlign w:val="center"/>
          </w:tcPr>
          <w:p w14:paraId="32E4E9AA" w14:textId="797E3DE8" w:rsidR="008223C5" w:rsidRPr="0080016B" w:rsidRDefault="008223C5" w:rsidP="008223C5">
            <w:pPr>
              <w:pStyle w:val="Tabelid"/>
              <w:cnfStyle w:val="000000000000" w:firstRow="0" w:lastRow="0" w:firstColumn="0" w:lastColumn="0" w:oddVBand="0" w:evenVBand="0" w:oddHBand="0" w:evenHBand="0" w:firstRowFirstColumn="0" w:firstRowLastColumn="0" w:lastRowFirstColumn="0" w:lastRowLastColumn="0"/>
            </w:pPr>
            <w:r w:rsidRPr="0080016B">
              <w:t> </w:t>
            </w:r>
          </w:p>
        </w:tc>
      </w:tr>
    </w:tbl>
    <w:p w14:paraId="730E0F2D" w14:textId="77777777" w:rsidR="00831AD9" w:rsidRPr="00414819" w:rsidRDefault="00831AD9" w:rsidP="00831AD9">
      <w:pPr>
        <w:pStyle w:val="Phitekst"/>
        <w:rPr>
          <w:highlight w:val="yellow"/>
        </w:rPr>
      </w:pPr>
    </w:p>
    <w:p w14:paraId="7E66997B" w14:textId="0209036F" w:rsidR="00831AD9" w:rsidRPr="00671E0C" w:rsidRDefault="00831AD9" w:rsidP="00E54FF2">
      <w:pPr>
        <w:pStyle w:val="Caption"/>
      </w:pPr>
      <w:bookmarkStart w:id="240" w:name="_Ref511654389"/>
      <w:bookmarkStart w:id="241" w:name="_Toc4502670"/>
      <w:bookmarkStart w:id="242" w:name="_Toc143775551"/>
      <w:r w:rsidRPr="00671E0C">
        <w:t xml:space="preserve">Tabel </w:t>
      </w:r>
      <w:r w:rsidR="004C0EAE">
        <w:fldChar w:fldCharType="begin"/>
      </w:r>
      <w:r w:rsidR="004C0EAE">
        <w:instrText xml:space="preserve"> SEQ Tabel \* ARABIC </w:instrText>
      </w:r>
      <w:r w:rsidR="004C0EAE">
        <w:fldChar w:fldCharType="separate"/>
      </w:r>
      <w:r w:rsidR="008478E8">
        <w:rPr>
          <w:noProof/>
        </w:rPr>
        <w:t>10</w:t>
      </w:r>
      <w:r w:rsidR="004C0EAE">
        <w:rPr>
          <w:noProof/>
        </w:rPr>
        <w:fldChar w:fldCharType="end"/>
      </w:r>
      <w:bookmarkEnd w:id="240"/>
      <w:r w:rsidRPr="00671E0C">
        <w:t>. Riskistsenaarium</w:t>
      </w:r>
      <w:bookmarkEnd w:id="241"/>
      <w:bookmarkEnd w:id="242"/>
    </w:p>
    <w:tbl>
      <w:tblPr>
        <w:tblStyle w:val="TableSubtle1"/>
        <w:tblW w:w="0" w:type="auto"/>
        <w:tblLayout w:type="fixed"/>
        <w:tblLook w:val="00A0" w:firstRow="1" w:lastRow="0" w:firstColumn="1" w:lastColumn="0" w:noHBand="0" w:noVBand="0"/>
      </w:tblPr>
      <w:tblGrid>
        <w:gridCol w:w="2880"/>
        <w:gridCol w:w="937"/>
        <w:gridCol w:w="937"/>
        <w:gridCol w:w="937"/>
        <w:gridCol w:w="937"/>
        <w:gridCol w:w="937"/>
        <w:gridCol w:w="937"/>
        <w:gridCol w:w="937"/>
      </w:tblGrid>
      <w:tr w:rsidR="00831AD9" w:rsidRPr="00671E0C" w14:paraId="697E685E" w14:textId="77777777" w:rsidTr="005150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11AF4E7" w14:textId="77777777" w:rsidR="00831AD9" w:rsidRPr="00671E0C" w:rsidRDefault="00831AD9" w:rsidP="005150BF">
            <w:pPr>
              <w:pStyle w:val="Tabelid"/>
            </w:pPr>
          </w:p>
        </w:tc>
        <w:tc>
          <w:tcPr>
            <w:tcW w:w="3748" w:type="dxa"/>
            <w:gridSpan w:val="4"/>
          </w:tcPr>
          <w:p w14:paraId="42320714" w14:textId="77777777" w:rsidR="00831AD9" w:rsidRPr="00671E0C" w:rsidRDefault="00831AD9" w:rsidP="002F6C52">
            <w:pPr>
              <w:pStyle w:val="Tabelid"/>
              <w:jc w:val="center"/>
              <w:cnfStyle w:val="100000000000" w:firstRow="1" w:lastRow="0" w:firstColumn="0" w:lastColumn="0" w:oddVBand="0" w:evenVBand="0" w:oddHBand="0" w:evenHBand="0" w:firstRowFirstColumn="0" w:firstRowLastColumn="0" w:lastRowFirstColumn="0" w:lastRowLastColumn="0"/>
            </w:pPr>
            <w:r w:rsidRPr="00671E0C">
              <w:t>Riskistsenaarium</w:t>
            </w:r>
          </w:p>
        </w:tc>
        <w:tc>
          <w:tcPr>
            <w:tcW w:w="2811" w:type="dxa"/>
            <w:gridSpan w:val="3"/>
          </w:tcPr>
          <w:p w14:paraId="144656D8" w14:textId="77777777" w:rsidR="00831AD9" w:rsidRPr="00671E0C" w:rsidRDefault="00831AD9" w:rsidP="002F6C52">
            <w:pPr>
              <w:pStyle w:val="Tabelid"/>
              <w:jc w:val="right"/>
              <w:cnfStyle w:val="100000000000" w:firstRow="1" w:lastRow="0" w:firstColumn="0" w:lastColumn="0" w:oddVBand="0" w:evenVBand="0" w:oddHBand="0" w:evenHBand="0" w:firstRowFirstColumn="0" w:firstRowLastColumn="0" w:lastRowFirstColumn="0" w:lastRowLastColumn="0"/>
            </w:pPr>
            <w:r w:rsidRPr="00671E0C">
              <w:t>Erinevus baasprognoosist</w:t>
            </w:r>
          </w:p>
        </w:tc>
      </w:tr>
      <w:tr w:rsidR="006117CC" w:rsidRPr="00671E0C" w14:paraId="210F70D3"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76DE6D" w14:textId="77777777" w:rsidR="006117CC" w:rsidRPr="00671E0C" w:rsidRDefault="006117CC" w:rsidP="006117CC">
            <w:pPr>
              <w:pStyle w:val="Tabelid"/>
              <w:keepNext/>
            </w:pPr>
            <w:r w:rsidRPr="00671E0C">
              <w:t>%</w:t>
            </w:r>
          </w:p>
        </w:tc>
        <w:tc>
          <w:tcPr>
            <w:tcW w:w="937" w:type="dxa"/>
            <w:vAlign w:val="center"/>
          </w:tcPr>
          <w:p w14:paraId="383FD43D" w14:textId="37A90FE7" w:rsidR="006117CC" w:rsidRPr="00671E0C" w:rsidRDefault="006117CC" w:rsidP="006117CC">
            <w:pPr>
              <w:pStyle w:val="Tabelid"/>
              <w:jc w:val="right"/>
              <w:cnfStyle w:val="000000100000" w:firstRow="0" w:lastRow="0" w:firstColumn="0" w:lastColumn="0" w:oddVBand="0" w:evenVBand="0" w:oddHBand="1" w:evenHBand="0" w:firstRowFirstColumn="0" w:firstRowLastColumn="0" w:lastRowFirstColumn="0" w:lastRowLastColumn="0"/>
              <w:rPr>
                <w:b/>
              </w:rPr>
            </w:pPr>
            <w:r w:rsidRPr="00671E0C">
              <w:rPr>
                <w:b/>
              </w:rPr>
              <w:t>2022</w:t>
            </w:r>
          </w:p>
        </w:tc>
        <w:tc>
          <w:tcPr>
            <w:tcW w:w="937" w:type="dxa"/>
            <w:vAlign w:val="center"/>
          </w:tcPr>
          <w:p w14:paraId="03BDFD6F" w14:textId="38331091" w:rsidR="006117CC" w:rsidRPr="00671E0C" w:rsidRDefault="006117CC" w:rsidP="006117CC">
            <w:pPr>
              <w:pStyle w:val="Tabelid"/>
              <w:jc w:val="right"/>
              <w:cnfStyle w:val="000000100000" w:firstRow="0" w:lastRow="0" w:firstColumn="0" w:lastColumn="0" w:oddVBand="0" w:evenVBand="0" w:oddHBand="1" w:evenHBand="0" w:firstRowFirstColumn="0" w:firstRowLastColumn="0" w:lastRowFirstColumn="0" w:lastRowLastColumn="0"/>
              <w:rPr>
                <w:b/>
              </w:rPr>
            </w:pPr>
            <w:r w:rsidRPr="00671E0C">
              <w:rPr>
                <w:b/>
              </w:rPr>
              <w:t>2023</w:t>
            </w:r>
          </w:p>
        </w:tc>
        <w:tc>
          <w:tcPr>
            <w:tcW w:w="937" w:type="dxa"/>
            <w:vAlign w:val="center"/>
          </w:tcPr>
          <w:p w14:paraId="2AB03390" w14:textId="5CDD5E9F" w:rsidR="006117CC" w:rsidRPr="00671E0C" w:rsidRDefault="006117CC" w:rsidP="006117CC">
            <w:pPr>
              <w:pStyle w:val="Tabelid"/>
              <w:jc w:val="right"/>
              <w:cnfStyle w:val="000000100000" w:firstRow="0" w:lastRow="0" w:firstColumn="0" w:lastColumn="0" w:oddVBand="0" w:evenVBand="0" w:oddHBand="1" w:evenHBand="0" w:firstRowFirstColumn="0" w:firstRowLastColumn="0" w:lastRowFirstColumn="0" w:lastRowLastColumn="0"/>
              <w:rPr>
                <w:b/>
              </w:rPr>
            </w:pPr>
            <w:r w:rsidRPr="00671E0C">
              <w:rPr>
                <w:b/>
              </w:rPr>
              <w:t>2024</w:t>
            </w:r>
          </w:p>
        </w:tc>
        <w:tc>
          <w:tcPr>
            <w:tcW w:w="937" w:type="dxa"/>
            <w:vAlign w:val="center"/>
          </w:tcPr>
          <w:p w14:paraId="44B6E38B" w14:textId="6661A9B2" w:rsidR="006117CC" w:rsidRPr="00671E0C" w:rsidRDefault="006117CC" w:rsidP="006117CC">
            <w:pPr>
              <w:pStyle w:val="Tabelid"/>
              <w:jc w:val="right"/>
              <w:cnfStyle w:val="000000100000" w:firstRow="0" w:lastRow="0" w:firstColumn="0" w:lastColumn="0" w:oddVBand="0" w:evenVBand="0" w:oddHBand="1" w:evenHBand="0" w:firstRowFirstColumn="0" w:firstRowLastColumn="0" w:lastRowFirstColumn="0" w:lastRowLastColumn="0"/>
              <w:rPr>
                <w:b/>
              </w:rPr>
            </w:pPr>
            <w:r w:rsidRPr="00671E0C">
              <w:rPr>
                <w:b/>
              </w:rPr>
              <w:t>2025</w:t>
            </w:r>
          </w:p>
        </w:tc>
        <w:tc>
          <w:tcPr>
            <w:tcW w:w="937" w:type="dxa"/>
            <w:vAlign w:val="center"/>
          </w:tcPr>
          <w:p w14:paraId="3744293B" w14:textId="71A3A7A7" w:rsidR="006117CC" w:rsidRPr="00671E0C" w:rsidRDefault="006117CC" w:rsidP="006117CC">
            <w:pPr>
              <w:pStyle w:val="Tabelid"/>
              <w:jc w:val="right"/>
              <w:cnfStyle w:val="000000100000" w:firstRow="0" w:lastRow="0" w:firstColumn="0" w:lastColumn="0" w:oddVBand="0" w:evenVBand="0" w:oddHBand="1" w:evenHBand="0" w:firstRowFirstColumn="0" w:firstRowLastColumn="0" w:lastRowFirstColumn="0" w:lastRowLastColumn="0"/>
              <w:rPr>
                <w:b/>
              </w:rPr>
            </w:pPr>
            <w:r w:rsidRPr="00671E0C">
              <w:rPr>
                <w:b/>
              </w:rPr>
              <w:t>2023</w:t>
            </w:r>
          </w:p>
        </w:tc>
        <w:tc>
          <w:tcPr>
            <w:tcW w:w="937" w:type="dxa"/>
            <w:vAlign w:val="center"/>
          </w:tcPr>
          <w:p w14:paraId="4CEE9F30" w14:textId="411330B0" w:rsidR="006117CC" w:rsidRPr="00671E0C" w:rsidRDefault="006117CC" w:rsidP="006117CC">
            <w:pPr>
              <w:pStyle w:val="Tabelid"/>
              <w:jc w:val="right"/>
              <w:cnfStyle w:val="000000100000" w:firstRow="0" w:lastRow="0" w:firstColumn="0" w:lastColumn="0" w:oddVBand="0" w:evenVBand="0" w:oddHBand="1" w:evenHBand="0" w:firstRowFirstColumn="0" w:firstRowLastColumn="0" w:lastRowFirstColumn="0" w:lastRowLastColumn="0"/>
              <w:rPr>
                <w:b/>
              </w:rPr>
            </w:pPr>
            <w:r w:rsidRPr="00671E0C">
              <w:rPr>
                <w:b/>
              </w:rPr>
              <w:t>2024</w:t>
            </w:r>
          </w:p>
        </w:tc>
        <w:tc>
          <w:tcPr>
            <w:tcW w:w="937" w:type="dxa"/>
            <w:vAlign w:val="center"/>
          </w:tcPr>
          <w:p w14:paraId="795DDDB5" w14:textId="5DA325FD" w:rsidR="006117CC" w:rsidRPr="00671E0C" w:rsidRDefault="006117CC" w:rsidP="006117CC">
            <w:pPr>
              <w:pStyle w:val="Tabelid"/>
              <w:jc w:val="right"/>
              <w:cnfStyle w:val="000000100000" w:firstRow="0" w:lastRow="0" w:firstColumn="0" w:lastColumn="0" w:oddVBand="0" w:evenVBand="0" w:oddHBand="1" w:evenHBand="0" w:firstRowFirstColumn="0" w:firstRowLastColumn="0" w:lastRowFirstColumn="0" w:lastRowLastColumn="0"/>
              <w:rPr>
                <w:b/>
              </w:rPr>
            </w:pPr>
            <w:r w:rsidRPr="00671E0C">
              <w:rPr>
                <w:b/>
              </w:rPr>
              <w:t>2025</w:t>
            </w:r>
          </w:p>
        </w:tc>
      </w:tr>
      <w:tr w:rsidR="00671E0C" w:rsidRPr="00671E0C" w14:paraId="3DCA2D21" w14:textId="77777777" w:rsidTr="005150BF">
        <w:trPr>
          <w:trHeight w:val="270"/>
        </w:trPr>
        <w:tc>
          <w:tcPr>
            <w:cnfStyle w:val="001000000000" w:firstRow="0" w:lastRow="0" w:firstColumn="1" w:lastColumn="0" w:oddVBand="0" w:evenVBand="0" w:oddHBand="0" w:evenHBand="0" w:firstRowFirstColumn="0" w:firstRowLastColumn="0" w:lastRowFirstColumn="0" w:lastRowLastColumn="0"/>
            <w:tcW w:w="2880" w:type="dxa"/>
          </w:tcPr>
          <w:p w14:paraId="68682318" w14:textId="77777777" w:rsidR="00671E0C" w:rsidRPr="00671E0C" w:rsidRDefault="00671E0C" w:rsidP="00671E0C">
            <w:pPr>
              <w:pStyle w:val="Tabelid"/>
              <w:keepNext/>
            </w:pPr>
            <w:r w:rsidRPr="00671E0C">
              <w:rPr>
                <w:color w:val="000000"/>
              </w:rPr>
              <w:t>1. SKP jooksevhindades</w:t>
            </w:r>
          </w:p>
        </w:tc>
        <w:tc>
          <w:tcPr>
            <w:tcW w:w="937" w:type="dxa"/>
            <w:vAlign w:val="center"/>
          </w:tcPr>
          <w:p w14:paraId="7E1744C1" w14:textId="249D19B6"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36,0</w:t>
            </w:r>
          </w:p>
        </w:tc>
        <w:tc>
          <w:tcPr>
            <w:tcW w:w="937" w:type="dxa"/>
            <w:vAlign w:val="center"/>
          </w:tcPr>
          <w:p w14:paraId="5DB595AD" w14:textId="4B0EEC13"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38,4</w:t>
            </w:r>
          </w:p>
        </w:tc>
        <w:tc>
          <w:tcPr>
            <w:tcW w:w="937" w:type="dxa"/>
            <w:vAlign w:val="center"/>
          </w:tcPr>
          <w:p w14:paraId="1A3BE78A" w14:textId="4A6A6A23"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40,5</w:t>
            </w:r>
          </w:p>
        </w:tc>
        <w:tc>
          <w:tcPr>
            <w:tcW w:w="937" w:type="dxa"/>
            <w:vAlign w:val="center"/>
          </w:tcPr>
          <w:p w14:paraId="072E5CDF" w14:textId="3319F683"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42,7</w:t>
            </w:r>
          </w:p>
        </w:tc>
        <w:tc>
          <w:tcPr>
            <w:tcW w:w="937" w:type="dxa"/>
            <w:vAlign w:val="center"/>
          </w:tcPr>
          <w:p w14:paraId="18AD9248" w14:textId="185ACE9B"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-0,4</w:t>
            </w:r>
          </w:p>
        </w:tc>
        <w:tc>
          <w:tcPr>
            <w:tcW w:w="937" w:type="dxa"/>
            <w:vAlign w:val="center"/>
          </w:tcPr>
          <w:p w14:paraId="55D1A1A2" w14:textId="2AB8E5C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-0,9</w:t>
            </w:r>
          </w:p>
        </w:tc>
        <w:tc>
          <w:tcPr>
            <w:tcW w:w="937" w:type="dxa"/>
            <w:vAlign w:val="center"/>
          </w:tcPr>
          <w:p w14:paraId="663296A5" w14:textId="636F2BA6"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-1,0</w:t>
            </w:r>
          </w:p>
        </w:tc>
      </w:tr>
      <w:tr w:rsidR="00671E0C" w:rsidRPr="00671E0C" w14:paraId="5EBE4F81"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322821" w14:textId="77777777" w:rsidR="00671E0C" w:rsidRPr="00671E0C" w:rsidRDefault="00671E0C" w:rsidP="00671E0C">
            <w:pPr>
              <w:pStyle w:val="Tabelid"/>
              <w:keepNext/>
            </w:pPr>
            <w:r w:rsidRPr="00671E0C">
              <w:rPr>
                <w:color w:val="000000"/>
              </w:rPr>
              <w:t>2. SKP reaalkasv</w:t>
            </w:r>
          </w:p>
        </w:tc>
        <w:tc>
          <w:tcPr>
            <w:tcW w:w="937" w:type="dxa"/>
            <w:vAlign w:val="center"/>
          </w:tcPr>
          <w:p w14:paraId="6F3A24FF" w14:textId="4EC34B93"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-0,5</w:t>
            </w:r>
          </w:p>
        </w:tc>
        <w:tc>
          <w:tcPr>
            <w:tcW w:w="937" w:type="dxa"/>
            <w:vAlign w:val="center"/>
          </w:tcPr>
          <w:p w14:paraId="24AA2E85" w14:textId="1EBA3DC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-2,5</w:t>
            </w:r>
          </w:p>
        </w:tc>
        <w:tc>
          <w:tcPr>
            <w:tcW w:w="937" w:type="dxa"/>
            <w:vAlign w:val="center"/>
          </w:tcPr>
          <w:p w14:paraId="2FC75CBD" w14:textId="44F78A61"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1,6</w:t>
            </w:r>
          </w:p>
        </w:tc>
        <w:tc>
          <w:tcPr>
            <w:tcW w:w="937" w:type="dxa"/>
            <w:vAlign w:val="center"/>
          </w:tcPr>
          <w:p w14:paraId="0E3D8FE3" w14:textId="606B3386"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3,1</w:t>
            </w:r>
          </w:p>
        </w:tc>
        <w:tc>
          <w:tcPr>
            <w:tcW w:w="937" w:type="dxa"/>
            <w:vAlign w:val="center"/>
          </w:tcPr>
          <w:p w14:paraId="6AC5A70B" w14:textId="42ACD96A"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-0,5</w:t>
            </w:r>
          </w:p>
        </w:tc>
        <w:tc>
          <w:tcPr>
            <w:tcW w:w="937" w:type="dxa"/>
            <w:vAlign w:val="center"/>
          </w:tcPr>
          <w:p w14:paraId="3BA637F3" w14:textId="160A4D3F"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-1,1</w:t>
            </w:r>
          </w:p>
        </w:tc>
        <w:tc>
          <w:tcPr>
            <w:tcW w:w="937" w:type="dxa"/>
            <w:vAlign w:val="center"/>
          </w:tcPr>
          <w:p w14:paraId="72BD2EEE" w14:textId="1A92264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0,1</w:t>
            </w:r>
          </w:p>
        </w:tc>
      </w:tr>
      <w:tr w:rsidR="00671E0C" w:rsidRPr="00671E0C" w14:paraId="18625A6A" w14:textId="77777777" w:rsidTr="005150BF">
        <w:tc>
          <w:tcPr>
            <w:cnfStyle w:val="001000000000" w:firstRow="0" w:lastRow="0" w:firstColumn="1" w:lastColumn="0" w:oddVBand="0" w:evenVBand="0" w:oddHBand="0" w:evenHBand="0" w:firstRowFirstColumn="0" w:firstRowLastColumn="0" w:lastRowFirstColumn="0" w:lastRowLastColumn="0"/>
            <w:tcW w:w="2880" w:type="dxa"/>
          </w:tcPr>
          <w:p w14:paraId="45FCE932" w14:textId="77777777" w:rsidR="00671E0C" w:rsidRPr="00671E0C" w:rsidRDefault="00671E0C" w:rsidP="00671E0C">
            <w:pPr>
              <w:pStyle w:val="Tabelid"/>
              <w:keepNext/>
            </w:pPr>
            <w:r w:rsidRPr="00671E0C">
              <w:rPr>
                <w:color w:val="000000"/>
              </w:rPr>
              <w:t>3. SKP nominaalkasv</w:t>
            </w:r>
          </w:p>
        </w:tc>
        <w:tc>
          <w:tcPr>
            <w:tcW w:w="937" w:type="dxa"/>
            <w:vAlign w:val="center"/>
          </w:tcPr>
          <w:p w14:paraId="128AFB22" w14:textId="5D872F3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15,5</w:t>
            </w:r>
          </w:p>
        </w:tc>
        <w:tc>
          <w:tcPr>
            <w:tcW w:w="937" w:type="dxa"/>
            <w:vAlign w:val="center"/>
          </w:tcPr>
          <w:p w14:paraId="78D10444" w14:textId="3E309DE8"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6,7</w:t>
            </w:r>
          </w:p>
        </w:tc>
        <w:tc>
          <w:tcPr>
            <w:tcW w:w="937" w:type="dxa"/>
            <w:vAlign w:val="center"/>
          </w:tcPr>
          <w:p w14:paraId="059D9865" w14:textId="67116B80"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5,3</w:t>
            </w:r>
          </w:p>
        </w:tc>
        <w:tc>
          <w:tcPr>
            <w:tcW w:w="937" w:type="dxa"/>
            <w:vAlign w:val="center"/>
          </w:tcPr>
          <w:p w14:paraId="09EC1F8E" w14:textId="59FC8833"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5,6</w:t>
            </w:r>
          </w:p>
        </w:tc>
        <w:tc>
          <w:tcPr>
            <w:tcW w:w="937" w:type="dxa"/>
            <w:vAlign w:val="center"/>
          </w:tcPr>
          <w:p w14:paraId="42833B4A" w14:textId="0E6219A1"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-1,0</w:t>
            </w:r>
          </w:p>
        </w:tc>
        <w:tc>
          <w:tcPr>
            <w:tcW w:w="937" w:type="dxa"/>
            <w:vAlign w:val="center"/>
          </w:tcPr>
          <w:p w14:paraId="3F866245" w14:textId="50A677A3"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-1,5</w:t>
            </w:r>
          </w:p>
        </w:tc>
        <w:tc>
          <w:tcPr>
            <w:tcW w:w="937" w:type="dxa"/>
            <w:vAlign w:val="center"/>
          </w:tcPr>
          <w:p w14:paraId="2174C97C" w14:textId="05443BA3"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0,0</w:t>
            </w:r>
          </w:p>
        </w:tc>
      </w:tr>
      <w:tr w:rsidR="00671E0C" w:rsidRPr="00671E0C" w14:paraId="3AC0D6D6"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33491C" w14:textId="77777777" w:rsidR="00671E0C" w:rsidRPr="00671E0C" w:rsidRDefault="00671E0C" w:rsidP="00671E0C">
            <w:pPr>
              <w:pStyle w:val="Tabelid"/>
              <w:keepNext/>
            </w:pPr>
            <w:r w:rsidRPr="00671E0C">
              <w:rPr>
                <w:color w:val="000000"/>
              </w:rPr>
              <w:t>4. THI</w:t>
            </w:r>
          </w:p>
        </w:tc>
        <w:tc>
          <w:tcPr>
            <w:tcW w:w="937" w:type="dxa"/>
            <w:vAlign w:val="center"/>
          </w:tcPr>
          <w:p w14:paraId="1A887E48" w14:textId="0088565C"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19,4</w:t>
            </w:r>
          </w:p>
        </w:tc>
        <w:tc>
          <w:tcPr>
            <w:tcW w:w="937" w:type="dxa"/>
            <w:vAlign w:val="center"/>
          </w:tcPr>
          <w:p w14:paraId="01615219" w14:textId="1B89C038"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9,3</w:t>
            </w:r>
          </w:p>
        </w:tc>
        <w:tc>
          <w:tcPr>
            <w:tcW w:w="937" w:type="dxa"/>
            <w:vAlign w:val="center"/>
          </w:tcPr>
          <w:p w14:paraId="0D973691" w14:textId="2537344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3,6</w:t>
            </w:r>
          </w:p>
        </w:tc>
        <w:tc>
          <w:tcPr>
            <w:tcW w:w="937" w:type="dxa"/>
            <w:vAlign w:val="center"/>
          </w:tcPr>
          <w:p w14:paraId="7D1515F7" w14:textId="0C223BD2"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2,3</w:t>
            </w:r>
          </w:p>
        </w:tc>
        <w:tc>
          <w:tcPr>
            <w:tcW w:w="937" w:type="dxa"/>
            <w:vAlign w:val="center"/>
          </w:tcPr>
          <w:p w14:paraId="2CF8A067" w14:textId="5AC1FA78"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-0,3</w:t>
            </w:r>
          </w:p>
        </w:tc>
        <w:tc>
          <w:tcPr>
            <w:tcW w:w="937" w:type="dxa"/>
            <w:vAlign w:val="center"/>
          </w:tcPr>
          <w:p w14:paraId="592E4E6E" w14:textId="26CC5C0C"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w:t>
            </w:r>
            <w:r w:rsidR="0080016B">
              <w:rPr>
                <w:color w:val="000000"/>
              </w:rPr>
              <w:t>0</w:t>
            </w:r>
          </w:p>
        </w:tc>
        <w:tc>
          <w:tcPr>
            <w:tcW w:w="937" w:type="dxa"/>
            <w:vAlign w:val="center"/>
          </w:tcPr>
          <w:p w14:paraId="6083C8F2" w14:textId="39BF178A" w:rsidR="00671E0C" w:rsidRPr="00671E0C" w:rsidRDefault="0080016B" w:rsidP="00671E0C">
            <w:pPr>
              <w:pStyle w:val="Tabelid"/>
              <w:jc w:val="right"/>
              <w:cnfStyle w:val="000000100000" w:firstRow="0" w:lastRow="0" w:firstColumn="0" w:lastColumn="0" w:oddVBand="0" w:evenVBand="0" w:oddHBand="1" w:evenHBand="0" w:firstRowFirstColumn="0" w:firstRowLastColumn="0" w:lastRowFirstColumn="0" w:lastRowLastColumn="0"/>
            </w:pPr>
            <w:r>
              <w:rPr>
                <w:color w:val="000000"/>
              </w:rPr>
              <w:t>-</w:t>
            </w:r>
            <w:r w:rsidR="00671E0C" w:rsidRPr="00671E0C">
              <w:rPr>
                <w:color w:val="000000"/>
              </w:rPr>
              <w:t>0,</w:t>
            </w:r>
            <w:r>
              <w:rPr>
                <w:color w:val="000000"/>
              </w:rPr>
              <w:t>2</w:t>
            </w:r>
          </w:p>
        </w:tc>
      </w:tr>
      <w:tr w:rsidR="00671E0C" w:rsidRPr="00671E0C" w14:paraId="0C769850" w14:textId="77777777" w:rsidTr="005150BF">
        <w:tc>
          <w:tcPr>
            <w:cnfStyle w:val="001000000000" w:firstRow="0" w:lastRow="0" w:firstColumn="1" w:lastColumn="0" w:oddVBand="0" w:evenVBand="0" w:oddHBand="0" w:evenHBand="0" w:firstRowFirstColumn="0" w:firstRowLastColumn="0" w:lastRowFirstColumn="0" w:lastRowLastColumn="0"/>
            <w:tcW w:w="2880" w:type="dxa"/>
          </w:tcPr>
          <w:p w14:paraId="12FEB14D" w14:textId="77777777" w:rsidR="00671E0C" w:rsidRPr="00671E0C" w:rsidRDefault="00671E0C" w:rsidP="00671E0C">
            <w:pPr>
              <w:pStyle w:val="Tabelid"/>
              <w:keepNext/>
            </w:pPr>
            <w:r w:rsidRPr="00671E0C">
              <w:rPr>
                <w:color w:val="000000"/>
              </w:rPr>
              <w:t>5. Sisenõudluse reaalkasv</w:t>
            </w:r>
          </w:p>
        </w:tc>
        <w:tc>
          <w:tcPr>
            <w:tcW w:w="937" w:type="dxa"/>
            <w:vAlign w:val="center"/>
          </w:tcPr>
          <w:p w14:paraId="4FE49D7B" w14:textId="115E235C"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2,3</w:t>
            </w:r>
          </w:p>
        </w:tc>
        <w:tc>
          <w:tcPr>
            <w:tcW w:w="937" w:type="dxa"/>
            <w:vAlign w:val="center"/>
          </w:tcPr>
          <w:p w14:paraId="107A4E9B" w14:textId="24F92D92"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-4,1</w:t>
            </w:r>
          </w:p>
        </w:tc>
        <w:tc>
          <w:tcPr>
            <w:tcW w:w="937" w:type="dxa"/>
            <w:vAlign w:val="center"/>
          </w:tcPr>
          <w:p w14:paraId="3F263865" w14:textId="2AAAE56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1,0</w:t>
            </w:r>
          </w:p>
        </w:tc>
        <w:tc>
          <w:tcPr>
            <w:tcW w:w="937" w:type="dxa"/>
            <w:vAlign w:val="center"/>
          </w:tcPr>
          <w:p w14:paraId="384E5B5A" w14:textId="5B9DF3DC"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3,3</w:t>
            </w:r>
          </w:p>
        </w:tc>
        <w:tc>
          <w:tcPr>
            <w:tcW w:w="937" w:type="dxa"/>
            <w:vAlign w:val="center"/>
          </w:tcPr>
          <w:p w14:paraId="31134B50" w14:textId="21D23069"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-1,0</w:t>
            </w:r>
          </w:p>
        </w:tc>
        <w:tc>
          <w:tcPr>
            <w:tcW w:w="937" w:type="dxa"/>
            <w:vAlign w:val="center"/>
          </w:tcPr>
          <w:p w14:paraId="4C3CF7B4" w14:textId="381FEBCC"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-0,5</w:t>
            </w:r>
          </w:p>
        </w:tc>
        <w:tc>
          <w:tcPr>
            <w:tcW w:w="937" w:type="dxa"/>
            <w:vAlign w:val="center"/>
          </w:tcPr>
          <w:p w14:paraId="59F7A4B5" w14:textId="6125AC6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0,0</w:t>
            </w:r>
          </w:p>
        </w:tc>
      </w:tr>
      <w:tr w:rsidR="00671E0C" w:rsidRPr="00671E0C" w14:paraId="52AF4015"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CBDDF66" w14:textId="77777777" w:rsidR="00671E0C" w:rsidRPr="00671E0C" w:rsidRDefault="00671E0C" w:rsidP="00671E0C">
            <w:pPr>
              <w:pStyle w:val="Tabelid"/>
              <w:keepNext/>
            </w:pPr>
            <w:r w:rsidRPr="00671E0C">
              <w:rPr>
                <w:color w:val="000000"/>
              </w:rPr>
              <w:t>6. Ekspordi reaalkasv</w:t>
            </w:r>
          </w:p>
        </w:tc>
        <w:tc>
          <w:tcPr>
            <w:tcW w:w="937" w:type="dxa"/>
            <w:vAlign w:val="center"/>
          </w:tcPr>
          <w:p w14:paraId="5B301795" w14:textId="3FDDF3A3"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3,0</w:t>
            </w:r>
          </w:p>
        </w:tc>
        <w:tc>
          <w:tcPr>
            <w:tcW w:w="937" w:type="dxa"/>
            <w:vAlign w:val="center"/>
          </w:tcPr>
          <w:p w14:paraId="5F058C90" w14:textId="4E500673"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-5,1</w:t>
            </w:r>
          </w:p>
        </w:tc>
        <w:tc>
          <w:tcPr>
            <w:tcW w:w="937" w:type="dxa"/>
            <w:vAlign w:val="center"/>
          </w:tcPr>
          <w:p w14:paraId="72EE5D8E" w14:textId="75CF28F3"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1,8</w:t>
            </w:r>
          </w:p>
        </w:tc>
        <w:tc>
          <w:tcPr>
            <w:tcW w:w="937" w:type="dxa"/>
            <w:vAlign w:val="center"/>
          </w:tcPr>
          <w:p w14:paraId="3D880A58" w14:textId="181A4029"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3,3</w:t>
            </w:r>
          </w:p>
        </w:tc>
        <w:tc>
          <w:tcPr>
            <w:tcW w:w="937" w:type="dxa"/>
            <w:vAlign w:val="center"/>
          </w:tcPr>
          <w:p w14:paraId="2701B241" w14:textId="403FF447"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w:t>
            </w:r>
            <w:r w:rsidR="0080016B">
              <w:rPr>
                <w:color w:val="000000"/>
              </w:rPr>
              <w:t>0,9</w:t>
            </w:r>
          </w:p>
        </w:tc>
        <w:tc>
          <w:tcPr>
            <w:tcW w:w="937" w:type="dxa"/>
            <w:vAlign w:val="center"/>
          </w:tcPr>
          <w:p w14:paraId="07202AC1" w14:textId="0C27B3F7"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-1,1</w:t>
            </w:r>
          </w:p>
        </w:tc>
        <w:tc>
          <w:tcPr>
            <w:tcW w:w="937" w:type="dxa"/>
            <w:vAlign w:val="center"/>
          </w:tcPr>
          <w:p w14:paraId="7814D7FF" w14:textId="472D4B92"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-0,1</w:t>
            </w:r>
          </w:p>
        </w:tc>
      </w:tr>
      <w:tr w:rsidR="00671E0C" w:rsidRPr="00671E0C" w14:paraId="690B7194" w14:textId="77777777" w:rsidTr="005150BF">
        <w:tc>
          <w:tcPr>
            <w:cnfStyle w:val="001000000000" w:firstRow="0" w:lastRow="0" w:firstColumn="1" w:lastColumn="0" w:oddVBand="0" w:evenVBand="0" w:oddHBand="0" w:evenHBand="0" w:firstRowFirstColumn="0" w:firstRowLastColumn="0" w:lastRowFirstColumn="0" w:lastRowLastColumn="0"/>
            <w:tcW w:w="2880" w:type="dxa"/>
          </w:tcPr>
          <w:p w14:paraId="283A3594" w14:textId="77777777" w:rsidR="00671E0C" w:rsidRPr="00671E0C" w:rsidRDefault="00671E0C" w:rsidP="00671E0C">
            <w:pPr>
              <w:pStyle w:val="Tabelid"/>
              <w:keepNext/>
            </w:pPr>
            <w:r w:rsidRPr="00671E0C">
              <w:rPr>
                <w:color w:val="000000"/>
              </w:rPr>
              <w:t>7. Tööhõive kasv</w:t>
            </w:r>
          </w:p>
        </w:tc>
        <w:tc>
          <w:tcPr>
            <w:tcW w:w="937" w:type="dxa"/>
            <w:vAlign w:val="center"/>
          </w:tcPr>
          <w:p w14:paraId="5C264156" w14:textId="640F78A9"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4,1</w:t>
            </w:r>
          </w:p>
        </w:tc>
        <w:tc>
          <w:tcPr>
            <w:tcW w:w="937" w:type="dxa"/>
            <w:vAlign w:val="center"/>
          </w:tcPr>
          <w:p w14:paraId="42A56086" w14:textId="2AF14BD6"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0,9</w:t>
            </w:r>
          </w:p>
        </w:tc>
        <w:tc>
          <w:tcPr>
            <w:tcW w:w="937" w:type="dxa"/>
            <w:vAlign w:val="center"/>
          </w:tcPr>
          <w:p w14:paraId="5D74DE2D" w14:textId="71F3784C"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0,0</w:t>
            </w:r>
          </w:p>
        </w:tc>
        <w:tc>
          <w:tcPr>
            <w:tcW w:w="937" w:type="dxa"/>
            <w:vAlign w:val="center"/>
          </w:tcPr>
          <w:p w14:paraId="677C5AF5" w14:textId="4D4AFC9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0,4</w:t>
            </w:r>
          </w:p>
        </w:tc>
        <w:tc>
          <w:tcPr>
            <w:tcW w:w="937" w:type="dxa"/>
            <w:vAlign w:val="center"/>
          </w:tcPr>
          <w:p w14:paraId="28BA5773" w14:textId="7B7A9EC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-0,1</w:t>
            </w:r>
          </w:p>
        </w:tc>
        <w:tc>
          <w:tcPr>
            <w:tcW w:w="937" w:type="dxa"/>
            <w:vAlign w:val="center"/>
          </w:tcPr>
          <w:p w14:paraId="0FB9A694" w14:textId="5E260734"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-0,4</w:t>
            </w:r>
          </w:p>
        </w:tc>
        <w:tc>
          <w:tcPr>
            <w:tcW w:w="937" w:type="dxa"/>
            <w:vAlign w:val="center"/>
          </w:tcPr>
          <w:p w14:paraId="60384066" w14:textId="396E9176"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0,3</w:t>
            </w:r>
          </w:p>
        </w:tc>
      </w:tr>
      <w:tr w:rsidR="00671E0C" w:rsidRPr="00671E0C" w14:paraId="2E0A6272" w14:textId="77777777" w:rsidTr="005150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780E324" w14:textId="6E8B6DB6" w:rsidR="00671E0C" w:rsidRPr="00671E0C" w:rsidRDefault="00671E0C" w:rsidP="00671E0C">
            <w:pPr>
              <w:pStyle w:val="Tabelid"/>
              <w:keepNext/>
              <w:rPr>
                <w:color w:val="000000"/>
              </w:rPr>
            </w:pPr>
            <w:r w:rsidRPr="00671E0C">
              <w:rPr>
                <w:color w:val="000000"/>
              </w:rPr>
              <w:t>8. Tööpuudus</w:t>
            </w:r>
          </w:p>
        </w:tc>
        <w:tc>
          <w:tcPr>
            <w:tcW w:w="937" w:type="dxa"/>
            <w:vAlign w:val="center"/>
          </w:tcPr>
          <w:p w14:paraId="6696A894" w14:textId="637A8760"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5,6</w:t>
            </w:r>
          </w:p>
        </w:tc>
        <w:tc>
          <w:tcPr>
            <w:tcW w:w="937" w:type="dxa"/>
            <w:vAlign w:val="center"/>
          </w:tcPr>
          <w:p w14:paraId="3CCE2110" w14:textId="4B12EF49"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6,2</w:t>
            </w:r>
          </w:p>
        </w:tc>
        <w:tc>
          <w:tcPr>
            <w:tcW w:w="937" w:type="dxa"/>
            <w:vAlign w:val="center"/>
          </w:tcPr>
          <w:p w14:paraId="4AD740D9" w14:textId="3AF70278"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7,1</w:t>
            </w:r>
          </w:p>
        </w:tc>
        <w:tc>
          <w:tcPr>
            <w:tcW w:w="937" w:type="dxa"/>
            <w:vAlign w:val="center"/>
          </w:tcPr>
          <w:p w14:paraId="3EDF9D19" w14:textId="2FAFA31E"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6,6</w:t>
            </w:r>
          </w:p>
        </w:tc>
        <w:tc>
          <w:tcPr>
            <w:tcW w:w="937" w:type="dxa"/>
            <w:vAlign w:val="center"/>
          </w:tcPr>
          <w:p w14:paraId="239AA0E0" w14:textId="3B6B26DA"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0,1</w:t>
            </w:r>
          </w:p>
        </w:tc>
        <w:tc>
          <w:tcPr>
            <w:tcW w:w="937" w:type="dxa"/>
            <w:vAlign w:val="center"/>
          </w:tcPr>
          <w:p w14:paraId="7E1A6E37" w14:textId="57D22798"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0,4</w:t>
            </w:r>
          </w:p>
        </w:tc>
        <w:tc>
          <w:tcPr>
            <w:tcW w:w="937" w:type="dxa"/>
            <w:vAlign w:val="center"/>
          </w:tcPr>
          <w:p w14:paraId="570320B3" w14:textId="78C2BE4D" w:rsidR="00671E0C" w:rsidRPr="00671E0C" w:rsidRDefault="00671E0C" w:rsidP="00671E0C">
            <w:pPr>
              <w:pStyle w:val="Tabelid"/>
              <w:jc w:val="right"/>
              <w:cnfStyle w:val="000000100000" w:firstRow="0" w:lastRow="0" w:firstColumn="0" w:lastColumn="0" w:oddVBand="0" w:evenVBand="0" w:oddHBand="1" w:evenHBand="0" w:firstRowFirstColumn="0" w:firstRowLastColumn="0" w:lastRowFirstColumn="0" w:lastRowLastColumn="0"/>
            </w:pPr>
            <w:r w:rsidRPr="00671E0C">
              <w:rPr>
                <w:color w:val="000000"/>
              </w:rPr>
              <w:t>0,2</w:t>
            </w:r>
          </w:p>
        </w:tc>
      </w:tr>
      <w:tr w:rsidR="00671E0C" w:rsidRPr="00671E0C" w14:paraId="1359E3D5" w14:textId="77777777" w:rsidTr="005150BF">
        <w:tc>
          <w:tcPr>
            <w:cnfStyle w:val="001000000000" w:firstRow="0" w:lastRow="0" w:firstColumn="1" w:lastColumn="0" w:oddVBand="0" w:evenVBand="0" w:oddHBand="0" w:evenHBand="0" w:firstRowFirstColumn="0" w:firstRowLastColumn="0" w:lastRowFirstColumn="0" w:lastRowLastColumn="0"/>
            <w:tcW w:w="2880" w:type="dxa"/>
          </w:tcPr>
          <w:p w14:paraId="77112383" w14:textId="7DE862F3" w:rsidR="00671E0C" w:rsidRPr="00671E0C" w:rsidRDefault="00671E0C" w:rsidP="00671E0C">
            <w:pPr>
              <w:pStyle w:val="Tabelid"/>
              <w:keepNext/>
            </w:pPr>
            <w:r w:rsidRPr="00671E0C">
              <w:rPr>
                <w:color w:val="000000"/>
              </w:rPr>
              <w:t>9. Palga nominaalkasv</w:t>
            </w:r>
          </w:p>
        </w:tc>
        <w:tc>
          <w:tcPr>
            <w:tcW w:w="937" w:type="dxa"/>
            <w:vAlign w:val="center"/>
          </w:tcPr>
          <w:p w14:paraId="678C563E" w14:textId="713C595E"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11,6</w:t>
            </w:r>
          </w:p>
        </w:tc>
        <w:tc>
          <w:tcPr>
            <w:tcW w:w="937" w:type="dxa"/>
            <w:vAlign w:val="center"/>
          </w:tcPr>
          <w:p w14:paraId="0DD579E5" w14:textId="53E7E910"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10,3</w:t>
            </w:r>
          </w:p>
        </w:tc>
        <w:tc>
          <w:tcPr>
            <w:tcW w:w="937" w:type="dxa"/>
            <w:vAlign w:val="center"/>
          </w:tcPr>
          <w:p w14:paraId="51B1F2D9" w14:textId="237ABCF4"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5,0</w:t>
            </w:r>
          </w:p>
        </w:tc>
        <w:tc>
          <w:tcPr>
            <w:tcW w:w="937" w:type="dxa"/>
            <w:vAlign w:val="center"/>
          </w:tcPr>
          <w:p w14:paraId="32BE5290" w14:textId="096689FF"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4,5</w:t>
            </w:r>
          </w:p>
        </w:tc>
        <w:tc>
          <w:tcPr>
            <w:tcW w:w="937" w:type="dxa"/>
            <w:vAlign w:val="center"/>
          </w:tcPr>
          <w:p w14:paraId="4A722F16" w14:textId="59AA5DE9"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-0,9</w:t>
            </w:r>
          </w:p>
        </w:tc>
        <w:tc>
          <w:tcPr>
            <w:tcW w:w="937" w:type="dxa"/>
            <w:vAlign w:val="center"/>
          </w:tcPr>
          <w:p w14:paraId="1985317E" w14:textId="22F2203D"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-1,6</w:t>
            </w:r>
          </w:p>
        </w:tc>
        <w:tc>
          <w:tcPr>
            <w:tcW w:w="937" w:type="dxa"/>
            <w:vAlign w:val="center"/>
          </w:tcPr>
          <w:p w14:paraId="25C861BA" w14:textId="44265DF4" w:rsidR="00671E0C" w:rsidRPr="00671E0C" w:rsidRDefault="00671E0C" w:rsidP="00671E0C">
            <w:pPr>
              <w:pStyle w:val="Tabelid"/>
              <w:jc w:val="right"/>
              <w:cnfStyle w:val="000000000000" w:firstRow="0" w:lastRow="0" w:firstColumn="0" w:lastColumn="0" w:oddVBand="0" w:evenVBand="0" w:oddHBand="0" w:evenHBand="0" w:firstRowFirstColumn="0" w:firstRowLastColumn="0" w:lastRowFirstColumn="0" w:lastRowLastColumn="0"/>
            </w:pPr>
            <w:r w:rsidRPr="00671E0C">
              <w:rPr>
                <w:color w:val="000000"/>
              </w:rPr>
              <w:t>-0,8</w:t>
            </w:r>
          </w:p>
        </w:tc>
      </w:tr>
    </w:tbl>
    <w:p w14:paraId="7A860BE3" w14:textId="77777777" w:rsidR="00831AD9" w:rsidRPr="00671E0C" w:rsidRDefault="00831AD9" w:rsidP="00831AD9">
      <w:pPr>
        <w:pStyle w:val="Mrkus"/>
      </w:pPr>
      <w:r w:rsidRPr="00671E0C">
        <w:t>Allikas: Rahandusministeerium, Statistikaamet.</w:t>
      </w:r>
    </w:p>
    <w:bookmarkEnd w:id="226"/>
    <w:p w14:paraId="39F007BB" w14:textId="005314D2" w:rsidR="005535E5" w:rsidRPr="00414819" w:rsidRDefault="005535E5" w:rsidP="00E66452">
      <w:pPr>
        <w:rPr>
          <w:highlight w:val="yellow"/>
        </w:rPr>
      </w:pPr>
    </w:p>
    <w:p w14:paraId="5E08C6BC" w14:textId="5D8BDD1E" w:rsidR="000C5EDE" w:rsidRPr="008478E8" w:rsidRDefault="000C5EDE" w:rsidP="00B8372C">
      <w:pPr>
        <w:pStyle w:val="Caption"/>
      </w:pPr>
      <w:bookmarkStart w:id="243" w:name="_Toc4502669"/>
      <w:bookmarkStart w:id="244" w:name="_Toc82084244"/>
      <w:bookmarkStart w:id="245" w:name="_Toc143775552"/>
      <w:r w:rsidRPr="008478E8">
        <w:t xml:space="preserve">Tabel </w:t>
      </w:r>
      <w:r w:rsidR="004C0EAE">
        <w:fldChar w:fldCharType="begin"/>
      </w:r>
      <w:r w:rsidR="004C0EAE">
        <w:instrText xml:space="preserve"> SEQ Tabel \* ARABIC </w:instrText>
      </w:r>
      <w:r w:rsidR="004C0EAE">
        <w:fldChar w:fldCharType="separate"/>
      </w:r>
      <w:r w:rsidR="008478E8">
        <w:rPr>
          <w:noProof/>
        </w:rPr>
        <w:t>11</w:t>
      </w:r>
      <w:r w:rsidR="004C0EAE">
        <w:rPr>
          <w:noProof/>
        </w:rPr>
        <w:fldChar w:fldCharType="end"/>
      </w:r>
      <w:r w:rsidRPr="008478E8">
        <w:t>. Majandusprognooside võrdlus (%)</w:t>
      </w:r>
      <w:bookmarkEnd w:id="243"/>
      <w:bookmarkEnd w:id="244"/>
      <w:bookmarkEnd w:id="245"/>
    </w:p>
    <w:tbl>
      <w:tblPr>
        <w:tblStyle w:val="TableSubtle1"/>
        <w:tblW w:w="10118" w:type="dxa"/>
        <w:tblLayout w:type="fixed"/>
        <w:tblLook w:val="04A0" w:firstRow="1" w:lastRow="0" w:firstColumn="1" w:lastColumn="0" w:noHBand="0" w:noVBand="1"/>
      </w:tblPr>
      <w:tblGrid>
        <w:gridCol w:w="2903"/>
        <w:gridCol w:w="1202"/>
        <w:gridCol w:w="1203"/>
        <w:gridCol w:w="1202"/>
        <w:gridCol w:w="1203"/>
        <w:gridCol w:w="1202"/>
        <w:gridCol w:w="1203"/>
      </w:tblGrid>
      <w:tr w:rsidR="000C5EDE" w:rsidRPr="00414819" w14:paraId="5BEB0B53" w14:textId="77777777" w:rsidTr="00820EBE">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hideMark/>
          </w:tcPr>
          <w:p w14:paraId="11BCF543" w14:textId="77777777" w:rsidR="000C5EDE" w:rsidRPr="00414819" w:rsidRDefault="000C5EDE" w:rsidP="00B8372C">
            <w:pPr>
              <w:pStyle w:val="Tabelid"/>
              <w:keepNext/>
              <w:rPr>
                <w:highlight w:val="yellow"/>
              </w:rPr>
            </w:pPr>
          </w:p>
        </w:tc>
        <w:tc>
          <w:tcPr>
            <w:tcW w:w="3607" w:type="dxa"/>
            <w:gridSpan w:val="3"/>
          </w:tcPr>
          <w:p w14:paraId="1919D273" w14:textId="77777777" w:rsidR="000C5EDE" w:rsidRPr="0080016B" w:rsidRDefault="000C5EDE" w:rsidP="00B8372C">
            <w:pPr>
              <w:pStyle w:val="Tabelid"/>
              <w:keepNext/>
              <w:jc w:val="center"/>
              <w:cnfStyle w:val="100000000000" w:firstRow="1" w:lastRow="0" w:firstColumn="0" w:lastColumn="0" w:oddVBand="0" w:evenVBand="0" w:oddHBand="0" w:evenHBand="0" w:firstRowFirstColumn="0" w:firstRowLastColumn="0" w:lastRowFirstColumn="0" w:lastRowLastColumn="0"/>
            </w:pPr>
            <w:r w:rsidRPr="0080016B">
              <w:t>SKP reaalkasv</w:t>
            </w:r>
          </w:p>
        </w:tc>
        <w:tc>
          <w:tcPr>
            <w:tcW w:w="3608" w:type="dxa"/>
            <w:gridSpan w:val="3"/>
          </w:tcPr>
          <w:p w14:paraId="0EAB47B8" w14:textId="77777777" w:rsidR="000C5EDE" w:rsidRPr="0080016B" w:rsidRDefault="000C5EDE" w:rsidP="00B8372C">
            <w:pPr>
              <w:pStyle w:val="Tabelid"/>
              <w:keepNext/>
              <w:jc w:val="center"/>
              <w:cnfStyle w:val="100000000000" w:firstRow="1" w:lastRow="0" w:firstColumn="0" w:lastColumn="0" w:oddVBand="0" w:evenVBand="0" w:oddHBand="0" w:evenHBand="0" w:firstRowFirstColumn="0" w:firstRowLastColumn="0" w:lastRowFirstColumn="0" w:lastRowLastColumn="0"/>
            </w:pPr>
            <w:r w:rsidRPr="0080016B">
              <w:t>SKP nominaalkasv</w:t>
            </w:r>
          </w:p>
        </w:tc>
      </w:tr>
      <w:tr w:rsidR="008A60BD" w:rsidRPr="00414819" w14:paraId="69F8092B" w14:textId="77777777" w:rsidTr="008A60BD">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hideMark/>
          </w:tcPr>
          <w:p w14:paraId="631E52CE" w14:textId="77777777" w:rsidR="008A60BD" w:rsidRPr="0080016B" w:rsidRDefault="008A60BD" w:rsidP="008A60BD">
            <w:pPr>
              <w:pStyle w:val="Tabelid"/>
              <w:keepNext/>
            </w:pPr>
            <w:r w:rsidRPr="0080016B">
              <w:t> </w:t>
            </w:r>
          </w:p>
        </w:tc>
        <w:tc>
          <w:tcPr>
            <w:tcW w:w="1202" w:type="dxa"/>
            <w:vAlign w:val="center"/>
          </w:tcPr>
          <w:p w14:paraId="1D5B9902" w14:textId="579CEB13"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2023</w:t>
            </w:r>
          </w:p>
        </w:tc>
        <w:tc>
          <w:tcPr>
            <w:tcW w:w="1203" w:type="dxa"/>
            <w:noWrap/>
            <w:vAlign w:val="center"/>
          </w:tcPr>
          <w:p w14:paraId="5E0991FB" w14:textId="39F328D2"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2024</w:t>
            </w:r>
          </w:p>
        </w:tc>
        <w:tc>
          <w:tcPr>
            <w:tcW w:w="1202" w:type="dxa"/>
            <w:noWrap/>
            <w:vAlign w:val="center"/>
          </w:tcPr>
          <w:p w14:paraId="30322320" w14:textId="1C2C5A78"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2025</w:t>
            </w:r>
          </w:p>
        </w:tc>
        <w:tc>
          <w:tcPr>
            <w:tcW w:w="1203" w:type="dxa"/>
            <w:noWrap/>
            <w:vAlign w:val="center"/>
            <w:hideMark/>
          </w:tcPr>
          <w:p w14:paraId="0E7A4D68" w14:textId="5BC78D94"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2023</w:t>
            </w:r>
          </w:p>
        </w:tc>
        <w:tc>
          <w:tcPr>
            <w:tcW w:w="1202" w:type="dxa"/>
            <w:noWrap/>
            <w:vAlign w:val="center"/>
            <w:hideMark/>
          </w:tcPr>
          <w:p w14:paraId="04F84CE7" w14:textId="4390DF3C"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2024</w:t>
            </w:r>
          </w:p>
        </w:tc>
        <w:tc>
          <w:tcPr>
            <w:tcW w:w="1203" w:type="dxa"/>
            <w:noWrap/>
            <w:vAlign w:val="center"/>
            <w:hideMark/>
          </w:tcPr>
          <w:p w14:paraId="44AADD49" w14:textId="1157FCCA"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2025</w:t>
            </w:r>
          </w:p>
        </w:tc>
      </w:tr>
      <w:tr w:rsidR="0080016B" w:rsidRPr="00414819" w14:paraId="196CBFB0"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6B8493AE" w14:textId="77777777" w:rsidR="0080016B" w:rsidRPr="0080016B" w:rsidRDefault="0080016B" w:rsidP="0080016B">
            <w:pPr>
              <w:pStyle w:val="Tabelid"/>
              <w:keepNext/>
            </w:pPr>
            <w:r w:rsidRPr="0080016B">
              <w:t>Rahandusministeerium</w:t>
            </w:r>
          </w:p>
        </w:tc>
        <w:tc>
          <w:tcPr>
            <w:tcW w:w="1202" w:type="dxa"/>
            <w:vAlign w:val="center"/>
          </w:tcPr>
          <w:p w14:paraId="58226AFA" w14:textId="2F8A78D5"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-2,0</w:t>
            </w:r>
          </w:p>
        </w:tc>
        <w:tc>
          <w:tcPr>
            <w:tcW w:w="1203" w:type="dxa"/>
            <w:noWrap/>
            <w:vAlign w:val="center"/>
            <w:hideMark/>
          </w:tcPr>
          <w:p w14:paraId="3B6EE0E5" w14:textId="32F5E0E6"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2,7</w:t>
            </w:r>
          </w:p>
        </w:tc>
        <w:tc>
          <w:tcPr>
            <w:tcW w:w="1202" w:type="dxa"/>
            <w:noWrap/>
            <w:vAlign w:val="center"/>
            <w:hideMark/>
          </w:tcPr>
          <w:p w14:paraId="27B6967F" w14:textId="2B82B892"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3,0</w:t>
            </w:r>
          </w:p>
        </w:tc>
        <w:tc>
          <w:tcPr>
            <w:tcW w:w="1203" w:type="dxa"/>
            <w:noWrap/>
            <w:vAlign w:val="center"/>
            <w:hideMark/>
          </w:tcPr>
          <w:p w14:paraId="22B84FCB" w14:textId="1010E85D"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7,7</w:t>
            </w:r>
          </w:p>
        </w:tc>
        <w:tc>
          <w:tcPr>
            <w:tcW w:w="1202" w:type="dxa"/>
            <w:noWrap/>
            <w:vAlign w:val="center"/>
            <w:hideMark/>
          </w:tcPr>
          <w:p w14:paraId="13D9E76E" w14:textId="1AC32126"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6,8</w:t>
            </w:r>
          </w:p>
        </w:tc>
        <w:tc>
          <w:tcPr>
            <w:tcW w:w="1203" w:type="dxa"/>
            <w:noWrap/>
            <w:vAlign w:val="center"/>
            <w:hideMark/>
          </w:tcPr>
          <w:p w14:paraId="299021C8" w14:textId="60419434"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5,5</w:t>
            </w:r>
          </w:p>
        </w:tc>
      </w:tr>
      <w:tr w:rsidR="0080016B" w:rsidRPr="00414819" w14:paraId="3AEE89C4"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7C028818" w14:textId="77777777" w:rsidR="0080016B" w:rsidRPr="00E04AF6" w:rsidRDefault="0080016B" w:rsidP="0080016B">
            <w:pPr>
              <w:pStyle w:val="Tabelid"/>
              <w:keepNext/>
            </w:pPr>
            <w:r w:rsidRPr="00E04AF6">
              <w:t>Eesti Pank</w:t>
            </w:r>
          </w:p>
        </w:tc>
        <w:tc>
          <w:tcPr>
            <w:tcW w:w="1202" w:type="dxa"/>
            <w:vAlign w:val="center"/>
          </w:tcPr>
          <w:p w14:paraId="082BF3AA" w14:textId="6C17DBB9" w:rsidR="0080016B" w:rsidRPr="00E04AF6"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E04AF6">
              <w:t>-1,0</w:t>
            </w:r>
          </w:p>
        </w:tc>
        <w:tc>
          <w:tcPr>
            <w:tcW w:w="1203" w:type="dxa"/>
            <w:noWrap/>
            <w:vAlign w:val="center"/>
            <w:hideMark/>
          </w:tcPr>
          <w:p w14:paraId="192F6673" w14:textId="7ACC9F72" w:rsidR="0080016B" w:rsidRPr="00E04AF6"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E04AF6">
              <w:t>2,</w:t>
            </w:r>
            <w:r w:rsidR="00E04AF6" w:rsidRPr="00E04AF6">
              <w:t>4</w:t>
            </w:r>
          </w:p>
        </w:tc>
        <w:tc>
          <w:tcPr>
            <w:tcW w:w="1202" w:type="dxa"/>
            <w:noWrap/>
            <w:vAlign w:val="center"/>
            <w:hideMark/>
          </w:tcPr>
          <w:p w14:paraId="4A7A0B44" w14:textId="07757F37" w:rsidR="0080016B" w:rsidRPr="00E04AF6"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E04AF6">
              <w:t>3,5</w:t>
            </w:r>
          </w:p>
        </w:tc>
        <w:tc>
          <w:tcPr>
            <w:tcW w:w="1203" w:type="dxa"/>
            <w:noWrap/>
            <w:vAlign w:val="center"/>
            <w:hideMark/>
          </w:tcPr>
          <w:p w14:paraId="470F001A" w14:textId="668C94CE" w:rsidR="0080016B" w:rsidRPr="00E04AF6"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E04AF6">
              <w:t>8,9**</w:t>
            </w:r>
          </w:p>
        </w:tc>
        <w:tc>
          <w:tcPr>
            <w:tcW w:w="1202" w:type="dxa"/>
            <w:noWrap/>
            <w:vAlign w:val="center"/>
            <w:hideMark/>
          </w:tcPr>
          <w:p w14:paraId="2583BB77" w14:textId="35833667" w:rsidR="0080016B" w:rsidRPr="00E04AF6"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E04AF6">
              <w:t>6,4**</w:t>
            </w:r>
          </w:p>
        </w:tc>
        <w:tc>
          <w:tcPr>
            <w:tcW w:w="1203" w:type="dxa"/>
            <w:noWrap/>
            <w:vAlign w:val="center"/>
            <w:hideMark/>
          </w:tcPr>
          <w:p w14:paraId="49BB8BC9" w14:textId="525914B1"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E04AF6">
              <w:t>5,6**</w:t>
            </w:r>
          </w:p>
        </w:tc>
      </w:tr>
      <w:tr w:rsidR="00E62684" w:rsidRPr="00414819" w14:paraId="47FAAF9D"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6C2805AF" w14:textId="77777777" w:rsidR="00E62684" w:rsidRPr="0080016B" w:rsidRDefault="00E62684" w:rsidP="00E62684">
            <w:pPr>
              <w:pStyle w:val="Tabelid"/>
              <w:keepNext/>
            </w:pPr>
            <w:r w:rsidRPr="0080016B">
              <w:t>Swedbank</w:t>
            </w:r>
          </w:p>
        </w:tc>
        <w:tc>
          <w:tcPr>
            <w:tcW w:w="1202" w:type="dxa"/>
            <w:vAlign w:val="center"/>
          </w:tcPr>
          <w:p w14:paraId="566EF07A" w14:textId="5584891C"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-2,0</w:t>
            </w:r>
          </w:p>
        </w:tc>
        <w:tc>
          <w:tcPr>
            <w:tcW w:w="1203" w:type="dxa"/>
            <w:noWrap/>
            <w:vAlign w:val="center"/>
            <w:hideMark/>
          </w:tcPr>
          <w:p w14:paraId="790C535B" w14:textId="2DB6CC34"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2,0</w:t>
            </w:r>
          </w:p>
        </w:tc>
        <w:tc>
          <w:tcPr>
            <w:tcW w:w="1202" w:type="dxa"/>
            <w:noWrap/>
            <w:vAlign w:val="center"/>
            <w:hideMark/>
          </w:tcPr>
          <w:p w14:paraId="68E6BE7F" w14:textId="0B822162"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3,0</w:t>
            </w:r>
          </w:p>
        </w:tc>
        <w:tc>
          <w:tcPr>
            <w:tcW w:w="1203" w:type="dxa"/>
            <w:noWrap/>
            <w:vAlign w:val="center"/>
            <w:hideMark/>
          </w:tcPr>
          <w:p w14:paraId="7726F276" w14:textId="3D6EE5C2"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6,7**</w:t>
            </w:r>
          </w:p>
        </w:tc>
        <w:tc>
          <w:tcPr>
            <w:tcW w:w="1202" w:type="dxa"/>
            <w:noWrap/>
            <w:vAlign w:val="center"/>
            <w:hideMark/>
          </w:tcPr>
          <w:p w14:paraId="2C30A163" w14:textId="2A1F4B59"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5,7**</w:t>
            </w:r>
          </w:p>
        </w:tc>
        <w:tc>
          <w:tcPr>
            <w:tcW w:w="1203" w:type="dxa"/>
            <w:noWrap/>
            <w:vAlign w:val="center"/>
            <w:hideMark/>
          </w:tcPr>
          <w:p w14:paraId="60AC2B01" w14:textId="75468395"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5,2**</w:t>
            </w:r>
          </w:p>
        </w:tc>
      </w:tr>
      <w:tr w:rsidR="0080016B" w:rsidRPr="00414819" w14:paraId="2049965E"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772FE33D" w14:textId="77777777" w:rsidR="0080016B" w:rsidRPr="0080016B" w:rsidRDefault="0080016B" w:rsidP="0080016B">
            <w:pPr>
              <w:pStyle w:val="Tabelid"/>
              <w:keepNext/>
            </w:pPr>
            <w:r w:rsidRPr="0080016B">
              <w:t>SEB</w:t>
            </w:r>
          </w:p>
        </w:tc>
        <w:tc>
          <w:tcPr>
            <w:tcW w:w="1202" w:type="dxa"/>
            <w:vAlign w:val="center"/>
          </w:tcPr>
          <w:p w14:paraId="032D86C3" w14:textId="4033B86D"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-0,4</w:t>
            </w:r>
          </w:p>
        </w:tc>
        <w:tc>
          <w:tcPr>
            <w:tcW w:w="1203" w:type="dxa"/>
            <w:noWrap/>
            <w:vAlign w:val="center"/>
            <w:hideMark/>
          </w:tcPr>
          <w:p w14:paraId="04979407" w14:textId="29982030"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2,5</w:t>
            </w:r>
          </w:p>
        </w:tc>
        <w:tc>
          <w:tcPr>
            <w:tcW w:w="1202" w:type="dxa"/>
            <w:noWrap/>
            <w:vAlign w:val="center"/>
            <w:hideMark/>
          </w:tcPr>
          <w:p w14:paraId="461671F7" w14:textId="414C68E6"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661EDBA6" w14:textId="46DE8BF3"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2" w:type="dxa"/>
            <w:noWrap/>
            <w:vAlign w:val="center"/>
            <w:hideMark/>
          </w:tcPr>
          <w:p w14:paraId="48DD526F" w14:textId="73325E84"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6DB05213" w14:textId="148F6975"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r>
      <w:tr w:rsidR="0080016B" w:rsidRPr="00414819" w14:paraId="7B5993EA"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tcPr>
          <w:p w14:paraId="421A6A8A" w14:textId="050204B4" w:rsidR="0080016B" w:rsidRPr="0080016B" w:rsidRDefault="0080016B" w:rsidP="0080016B">
            <w:pPr>
              <w:pStyle w:val="Tabelid"/>
              <w:keepNext/>
            </w:pPr>
            <w:proofErr w:type="spellStart"/>
            <w:r w:rsidRPr="0080016B">
              <w:t>Luminor</w:t>
            </w:r>
            <w:proofErr w:type="spellEnd"/>
          </w:p>
        </w:tc>
        <w:tc>
          <w:tcPr>
            <w:tcW w:w="1202" w:type="dxa"/>
            <w:vAlign w:val="center"/>
          </w:tcPr>
          <w:p w14:paraId="0A761A89" w14:textId="504D34FD"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0,0</w:t>
            </w:r>
          </w:p>
        </w:tc>
        <w:tc>
          <w:tcPr>
            <w:tcW w:w="1203" w:type="dxa"/>
            <w:noWrap/>
            <w:vAlign w:val="center"/>
          </w:tcPr>
          <w:p w14:paraId="6FE4AA8C" w14:textId="6073E10E"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4,0</w:t>
            </w:r>
          </w:p>
        </w:tc>
        <w:tc>
          <w:tcPr>
            <w:tcW w:w="1202" w:type="dxa"/>
            <w:noWrap/>
            <w:vAlign w:val="center"/>
          </w:tcPr>
          <w:p w14:paraId="326FA037" w14:textId="503556AA"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c>
          <w:tcPr>
            <w:tcW w:w="1203" w:type="dxa"/>
            <w:noWrap/>
            <w:vAlign w:val="center"/>
          </w:tcPr>
          <w:p w14:paraId="7F62326C" w14:textId="2C75AF9E"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rsidRPr="001964FA">
              <w:t>-</w:t>
            </w:r>
          </w:p>
        </w:tc>
        <w:tc>
          <w:tcPr>
            <w:tcW w:w="1202" w:type="dxa"/>
            <w:noWrap/>
            <w:vAlign w:val="center"/>
          </w:tcPr>
          <w:p w14:paraId="75354E45" w14:textId="3DBC7651"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c>
          <w:tcPr>
            <w:tcW w:w="1203" w:type="dxa"/>
            <w:noWrap/>
            <w:vAlign w:val="center"/>
          </w:tcPr>
          <w:p w14:paraId="1908A2C8" w14:textId="4EEC5015"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r>
      <w:tr w:rsidR="0080016B" w:rsidRPr="00414819" w14:paraId="43457AEB"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368C803A" w14:textId="77777777" w:rsidR="0080016B" w:rsidRPr="0080016B" w:rsidRDefault="0080016B" w:rsidP="0080016B">
            <w:pPr>
              <w:pStyle w:val="Tabelid"/>
              <w:keepNext/>
            </w:pPr>
            <w:proofErr w:type="spellStart"/>
            <w:r w:rsidRPr="0080016B">
              <w:t>Consensus</w:t>
            </w:r>
            <w:proofErr w:type="spellEnd"/>
            <w:r w:rsidRPr="0080016B">
              <w:t xml:space="preserve"> </w:t>
            </w:r>
            <w:proofErr w:type="spellStart"/>
            <w:r w:rsidRPr="0080016B">
              <w:t>Forecasts</w:t>
            </w:r>
            <w:proofErr w:type="spellEnd"/>
          </w:p>
        </w:tc>
        <w:tc>
          <w:tcPr>
            <w:tcW w:w="1202" w:type="dxa"/>
            <w:vAlign w:val="center"/>
          </w:tcPr>
          <w:p w14:paraId="4720139A" w14:textId="6DE4DCF5"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-0,8</w:t>
            </w:r>
          </w:p>
        </w:tc>
        <w:tc>
          <w:tcPr>
            <w:tcW w:w="1203" w:type="dxa"/>
            <w:noWrap/>
            <w:vAlign w:val="center"/>
            <w:hideMark/>
          </w:tcPr>
          <w:p w14:paraId="349CCF51" w14:textId="3D6B7C75"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2,9</w:t>
            </w:r>
          </w:p>
        </w:tc>
        <w:tc>
          <w:tcPr>
            <w:tcW w:w="1202" w:type="dxa"/>
            <w:noWrap/>
            <w:vAlign w:val="center"/>
            <w:hideMark/>
          </w:tcPr>
          <w:p w14:paraId="7ECA1E21" w14:textId="0DBD0D5F"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2AF2D1AC" w14:textId="02B18142"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2" w:type="dxa"/>
            <w:noWrap/>
            <w:vAlign w:val="center"/>
            <w:hideMark/>
          </w:tcPr>
          <w:p w14:paraId="40628CB9" w14:textId="35A8D432"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1FBD7BDC" w14:textId="662C3FB5"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r>
      <w:tr w:rsidR="0080016B" w:rsidRPr="00414819" w14:paraId="55E242FB"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5B895499" w14:textId="77777777" w:rsidR="0080016B" w:rsidRPr="0080016B" w:rsidRDefault="0080016B" w:rsidP="0080016B">
            <w:pPr>
              <w:pStyle w:val="Tabelid"/>
              <w:keepNext/>
            </w:pPr>
            <w:r w:rsidRPr="0080016B">
              <w:t>Euroopa Komisjon</w:t>
            </w:r>
          </w:p>
        </w:tc>
        <w:tc>
          <w:tcPr>
            <w:tcW w:w="1202" w:type="dxa"/>
            <w:vAlign w:val="center"/>
          </w:tcPr>
          <w:p w14:paraId="3E7F5982" w14:textId="517CC43A"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-0,4</w:t>
            </w:r>
          </w:p>
        </w:tc>
        <w:tc>
          <w:tcPr>
            <w:tcW w:w="1203" w:type="dxa"/>
            <w:noWrap/>
            <w:vAlign w:val="center"/>
            <w:hideMark/>
          </w:tcPr>
          <w:p w14:paraId="3699A798" w14:textId="79C0EFF3"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3,1</w:t>
            </w:r>
          </w:p>
        </w:tc>
        <w:tc>
          <w:tcPr>
            <w:tcW w:w="1202" w:type="dxa"/>
            <w:noWrap/>
            <w:vAlign w:val="center"/>
            <w:hideMark/>
          </w:tcPr>
          <w:p w14:paraId="3FBF441E" w14:textId="2A367B05"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c>
          <w:tcPr>
            <w:tcW w:w="1203" w:type="dxa"/>
            <w:noWrap/>
            <w:vAlign w:val="center"/>
            <w:hideMark/>
          </w:tcPr>
          <w:p w14:paraId="27A4FAD5" w14:textId="15203531"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9,9**</w:t>
            </w:r>
          </w:p>
        </w:tc>
        <w:tc>
          <w:tcPr>
            <w:tcW w:w="1202" w:type="dxa"/>
            <w:noWrap/>
            <w:vAlign w:val="center"/>
            <w:hideMark/>
          </w:tcPr>
          <w:p w14:paraId="7F377F3D" w14:textId="5388D02C"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6,7**</w:t>
            </w:r>
          </w:p>
        </w:tc>
        <w:tc>
          <w:tcPr>
            <w:tcW w:w="1203" w:type="dxa"/>
            <w:noWrap/>
            <w:vAlign w:val="center"/>
            <w:hideMark/>
          </w:tcPr>
          <w:p w14:paraId="0F193A67" w14:textId="1B7F5304"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r>
      <w:tr w:rsidR="0080016B" w:rsidRPr="00414819" w14:paraId="541152A3"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64306E8C" w14:textId="77777777" w:rsidR="0080016B" w:rsidRPr="0080016B" w:rsidRDefault="0080016B" w:rsidP="0080016B">
            <w:pPr>
              <w:pStyle w:val="Tabelid"/>
              <w:keepNext/>
            </w:pPr>
            <w:r w:rsidRPr="0080016B">
              <w:t>IMF</w:t>
            </w:r>
          </w:p>
        </w:tc>
        <w:tc>
          <w:tcPr>
            <w:tcW w:w="1202" w:type="dxa"/>
            <w:vAlign w:val="center"/>
          </w:tcPr>
          <w:p w14:paraId="310DE91F" w14:textId="70A853CC"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-1,6</w:t>
            </w:r>
          </w:p>
        </w:tc>
        <w:tc>
          <w:tcPr>
            <w:tcW w:w="1203" w:type="dxa"/>
            <w:noWrap/>
            <w:vAlign w:val="center"/>
            <w:hideMark/>
          </w:tcPr>
          <w:p w14:paraId="7DB51230" w14:textId="1626198A"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2,9</w:t>
            </w:r>
          </w:p>
        </w:tc>
        <w:tc>
          <w:tcPr>
            <w:tcW w:w="1202" w:type="dxa"/>
            <w:noWrap/>
            <w:vAlign w:val="center"/>
            <w:hideMark/>
          </w:tcPr>
          <w:p w14:paraId="2687CA07" w14:textId="174821FE"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2,8</w:t>
            </w:r>
          </w:p>
        </w:tc>
        <w:tc>
          <w:tcPr>
            <w:tcW w:w="1203" w:type="dxa"/>
            <w:noWrap/>
            <w:vAlign w:val="center"/>
            <w:hideMark/>
          </w:tcPr>
          <w:p w14:paraId="425E3B7F" w14:textId="2CEA3328"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7,6**</w:t>
            </w:r>
          </w:p>
        </w:tc>
        <w:tc>
          <w:tcPr>
            <w:tcW w:w="1202" w:type="dxa"/>
            <w:noWrap/>
            <w:vAlign w:val="center"/>
            <w:hideMark/>
          </w:tcPr>
          <w:p w14:paraId="341D3F85" w14:textId="7259560A"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6,4**</w:t>
            </w:r>
          </w:p>
        </w:tc>
        <w:tc>
          <w:tcPr>
            <w:tcW w:w="1203" w:type="dxa"/>
            <w:noWrap/>
            <w:vAlign w:val="center"/>
            <w:hideMark/>
          </w:tcPr>
          <w:p w14:paraId="611A96A0" w14:textId="7AA606AA"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5,7**</w:t>
            </w:r>
          </w:p>
        </w:tc>
      </w:tr>
      <w:tr w:rsidR="0080016B" w:rsidRPr="00414819" w14:paraId="33DBA451"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379C213D" w14:textId="77777777" w:rsidR="0080016B" w:rsidRPr="0080016B" w:rsidRDefault="0080016B" w:rsidP="0080016B">
            <w:pPr>
              <w:pStyle w:val="Tabelid"/>
              <w:keepNext/>
            </w:pPr>
            <w:r w:rsidRPr="0080016B">
              <w:t>OECD</w:t>
            </w:r>
          </w:p>
        </w:tc>
        <w:tc>
          <w:tcPr>
            <w:tcW w:w="1202" w:type="dxa"/>
            <w:vAlign w:val="center"/>
          </w:tcPr>
          <w:p w14:paraId="7BB3FBD2" w14:textId="05BC87C6"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-1,3</w:t>
            </w:r>
          </w:p>
        </w:tc>
        <w:tc>
          <w:tcPr>
            <w:tcW w:w="1203" w:type="dxa"/>
            <w:noWrap/>
            <w:vAlign w:val="center"/>
            <w:hideMark/>
          </w:tcPr>
          <w:p w14:paraId="42D09F40" w14:textId="2B2CA1E6"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3,2</w:t>
            </w:r>
          </w:p>
        </w:tc>
        <w:tc>
          <w:tcPr>
            <w:tcW w:w="1202" w:type="dxa"/>
            <w:noWrap/>
            <w:vAlign w:val="center"/>
            <w:hideMark/>
          </w:tcPr>
          <w:p w14:paraId="587A2CBF" w14:textId="7526594E"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c>
          <w:tcPr>
            <w:tcW w:w="1203" w:type="dxa"/>
            <w:noWrap/>
            <w:vAlign w:val="center"/>
            <w:hideMark/>
          </w:tcPr>
          <w:p w14:paraId="621374B3" w14:textId="4EF0721E"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12,0</w:t>
            </w:r>
            <w:r w:rsidRPr="00343FBF">
              <w:t>**</w:t>
            </w:r>
          </w:p>
        </w:tc>
        <w:tc>
          <w:tcPr>
            <w:tcW w:w="1202" w:type="dxa"/>
            <w:noWrap/>
            <w:vAlign w:val="center"/>
            <w:hideMark/>
          </w:tcPr>
          <w:p w14:paraId="1F70E4A6" w14:textId="124E2941"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8,3**</w:t>
            </w:r>
          </w:p>
        </w:tc>
        <w:tc>
          <w:tcPr>
            <w:tcW w:w="1203" w:type="dxa"/>
            <w:noWrap/>
            <w:vAlign w:val="center"/>
            <w:hideMark/>
          </w:tcPr>
          <w:p w14:paraId="4900842E" w14:textId="7463A236"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r>
      <w:tr w:rsidR="0080016B" w:rsidRPr="00414819" w14:paraId="7AEF7983"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0C3B7578" w14:textId="77777777" w:rsidR="0080016B" w:rsidRPr="0080016B" w:rsidRDefault="0080016B" w:rsidP="0080016B">
            <w:pPr>
              <w:pStyle w:val="Tabelid"/>
              <w:keepNext/>
            </w:pPr>
            <w:r w:rsidRPr="0080016B">
              <w:t>Konjunktuuriinstituut</w:t>
            </w:r>
          </w:p>
        </w:tc>
        <w:tc>
          <w:tcPr>
            <w:tcW w:w="1202" w:type="dxa"/>
            <w:vAlign w:val="center"/>
          </w:tcPr>
          <w:p w14:paraId="60163F5A" w14:textId="5F8FF401"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0,0</w:t>
            </w:r>
          </w:p>
        </w:tc>
        <w:tc>
          <w:tcPr>
            <w:tcW w:w="1203" w:type="dxa"/>
            <w:noWrap/>
            <w:vAlign w:val="center"/>
            <w:hideMark/>
          </w:tcPr>
          <w:p w14:paraId="508959D4" w14:textId="394E412C"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2" w:type="dxa"/>
            <w:noWrap/>
            <w:vAlign w:val="center"/>
            <w:hideMark/>
          </w:tcPr>
          <w:p w14:paraId="4047F6B4" w14:textId="189E58BF"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23D02551" w14:textId="02BB4304"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2" w:type="dxa"/>
            <w:noWrap/>
            <w:vAlign w:val="center"/>
            <w:hideMark/>
          </w:tcPr>
          <w:p w14:paraId="03346AAC" w14:textId="4AC31386"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0CECFE96" w14:textId="3E17E6F0"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r>
    </w:tbl>
    <w:p w14:paraId="50159030" w14:textId="77777777" w:rsidR="000C5EDE" w:rsidRPr="00414819" w:rsidRDefault="000C5EDE" w:rsidP="000C5EDE">
      <w:pPr>
        <w:pStyle w:val="Phitekst"/>
        <w:rPr>
          <w:highlight w:val="yellow"/>
        </w:rPr>
      </w:pPr>
      <w:r w:rsidRPr="00414819">
        <w:rPr>
          <w:highlight w:val="yellow"/>
        </w:rPr>
        <w:t xml:space="preserve"> </w:t>
      </w:r>
    </w:p>
    <w:tbl>
      <w:tblPr>
        <w:tblStyle w:val="TableSubtle1"/>
        <w:tblW w:w="10118" w:type="dxa"/>
        <w:tblLayout w:type="fixed"/>
        <w:tblLook w:val="04A0" w:firstRow="1" w:lastRow="0" w:firstColumn="1" w:lastColumn="0" w:noHBand="0" w:noVBand="1"/>
      </w:tblPr>
      <w:tblGrid>
        <w:gridCol w:w="2903"/>
        <w:gridCol w:w="1202"/>
        <w:gridCol w:w="1203"/>
        <w:gridCol w:w="1202"/>
        <w:gridCol w:w="1203"/>
        <w:gridCol w:w="1202"/>
        <w:gridCol w:w="1203"/>
      </w:tblGrid>
      <w:tr w:rsidR="000C5EDE" w:rsidRPr="00414819" w14:paraId="6271A629" w14:textId="77777777" w:rsidTr="00820EBE">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hideMark/>
          </w:tcPr>
          <w:p w14:paraId="66496ADC" w14:textId="77777777" w:rsidR="000C5EDE" w:rsidRPr="00414819" w:rsidRDefault="000C5EDE" w:rsidP="00820EBE">
            <w:pPr>
              <w:pStyle w:val="Tabelid"/>
              <w:rPr>
                <w:highlight w:val="yellow"/>
              </w:rPr>
            </w:pPr>
          </w:p>
        </w:tc>
        <w:tc>
          <w:tcPr>
            <w:tcW w:w="3607" w:type="dxa"/>
            <w:gridSpan w:val="3"/>
          </w:tcPr>
          <w:p w14:paraId="29956991" w14:textId="77777777" w:rsidR="000C5EDE" w:rsidRPr="0080016B" w:rsidRDefault="000C5EDE" w:rsidP="00B8372C">
            <w:pPr>
              <w:pStyle w:val="Tabelid"/>
              <w:jc w:val="center"/>
              <w:cnfStyle w:val="100000000000" w:firstRow="1" w:lastRow="0" w:firstColumn="0" w:lastColumn="0" w:oddVBand="0" w:evenVBand="0" w:oddHBand="0" w:evenHBand="0" w:firstRowFirstColumn="0" w:firstRowLastColumn="0" w:lastRowFirstColumn="0" w:lastRowLastColumn="0"/>
            </w:pPr>
            <w:r w:rsidRPr="0080016B">
              <w:t>Tarbijahinnaindeks</w:t>
            </w:r>
          </w:p>
        </w:tc>
        <w:tc>
          <w:tcPr>
            <w:tcW w:w="3608" w:type="dxa"/>
            <w:gridSpan w:val="3"/>
          </w:tcPr>
          <w:p w14:paraId="63FFABE0" w14:textId="77777777" w:rsidR="000C5EDE" w:rsidRPr="0080016B" w:rsidRDefault="000C5EDE" w:rsidP="00B8372C">
            <w:pPr>
              <w:pStyle w:val="Tabelid"/>
              <w:jc w:val="center"/>
              <w:cnfStyle w:val="100000000000" w:firstRow="1" w:lastRow="0" w:firstColumn="0" w:lastColumn="0" w:oddVBand="0" w:evenVBand="0" w:oddHBand="0" w:evenHBand="0" w:firstRowFirstColumn="0" w:firstRowLastColumn="0" w:lastRowFirstColumn="0" w:lastRowLastColumn="0"/>
            </w:pPr>
            <w:r w:rsidRPr="0080016B">
              <w:t>Valitsussektori positsioon (% SKPst)</w:t>
            </w:r>
          </w:p>
        </w:tc>
      </w:tr>
      <w:tr w:rsidR="008A60BD" w:rsidRPr="00414819" w14:paraId="598AEB9B"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hideMark/>
          </w:tcPr>
          <w:p w14:paraId="3D00616A" w14:textId="77777777" w:rsidR="008A60BD" w:rsidRPr="0080016B" w:rsidRDefault="008A60BD" w:rsidP="008A60BD">
            <w:pPr>
              <w:pStyle w:val="Tabelid"/>
              <w:keepNext/>
            </w:pPr>
            <w:r w:rsidRPr="0080016B">
              <w:t> </w:t>
            </w:r>
          </w:p>
        </w:tc>
        <w:tc>
          <w:tcPr>
            <w:tcW w:w="1202" w:type="dxa"/>
            <w:vAlign w:val="center"/>
          </w:tcPr>
          <w:p w14:paraId="52A5F646" w14:textId="72AEAEBD"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2023</w:t>
            </w:r>
          </w:p>
        </w:tc>
        <w:tc>
          <w:tcPr>
            <w:tcW w:w="1203" w:type="dxa"/>
            <w:noWrap/>
            <w:vAlign w:val="center"/>
            <w:hideMark/>
          </w:tcPr>
          <w:p w14:paraId="43E5C24E" w14:textId="6ECE47AE"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2024</w:t>
            </w:r>
          </w:p>
        </w:tc>
        <w:tc>
          <w:tcPr>
            <w:tcW w:w="1202" w:type="dxa"/>
            <w:noWrap/>
            <w:vAlign w:val="center"/>
            <w:hideMark/>
          </w:tcPr>
          <w:p w14:paraId="605C133C" w14:textId="08A0F8E9"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2025</w:t>
            </w:r>
          </w:p>
        </w:tc>
        <w:tc>
          <w:tcPr>
            <w:tcW w:w="1203" w:type="dxa"/>
            <w:noWrap/>
            <w:vAlign w:val="center"/>
            <w:hideMark/>
          </w:tcPr>
          <w:p w14:paraId="475ACA06" w14:textId="35015379"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2023</w:t>
            </w:r>
          </w:p>
        </w:tc>
        <w:tc>
          <w:tcPr>
            <w:tcW w:w="1202" w:type="dxa"/>
            <w:noWrap/>
            <w:vAlign w:val="center"/>
            <w:hideMark/>
          </w:tcPr>
          <w:p w14:paraId="0105313C" w14:textId="1103202F"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2024</w:t>
            </w:r>
          </w:p>
        </w:tc>
        <w:tc>
          <w:tcPr>
            <w:tcW w:w="1203" w:type="dxa"/>
            <w:noWrap/>
            <w:vAlign w:val="center"/>
            <w:hideMark/>
          </w:tcPr>
          <w:p w14:paraId="3F3E713C" w14:textId="6CD1F3A5" w:rsidR="008A60BD" w:rsidRPr="0080016B" w:rsidRDefault="008A60BD" w:rsidP="008A60BD">
            <w:pPr>
              <w:pStyle w:val="Tabelid"/>
              <w:jc w:val="right"/>
              <w:cnfStyle w:val="000000100000" w:firstRow="0" w:lastRow="0" w:firstColumn="0" w:lastColumn="0" w:oddVBand="0" w:evenVBand="0" w:oddHBand="1" w:evenHBand="0" w:firstRowFirstColumn="0" w:firstRowLastColumn="0" w:lastRowFirstColumn="0" w:lastRowLastColumn="0"/>
              <w:rPr>
                <w:b/>
              </w:rPr>
            </w:pPr>
            <w:r w:rsidRPr="0080016B">
              <w:rPr>
                <w:b/>
              </w:rPr>
              <w:t>2025</w:t>
            </w:r>
          </w:p>
        </w:tc>
      </w:tr>
      <w:tr w:rsidR="0080016B" w:rsidRPr="00414819" w14:paraId="5F16EB84"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417D7253" w14:textId="3118B891" w:rsidR="0080016B" w:rsidRPr="0080016B" w:rsidRDefault="0080016B" w:rsidP="0080016B">
            <w:pPr>
              <w:pStyle w:val="Tabelid"/>
            </w:pPr>
            <w:r w:rsidRPr="0080016B">
              <w:t>Rahandusministeerium</w:t>
            </w:r>
          </w:p>
        </w:tc>
        <w:tc>
          <w:tcPr>
            <w:tcW w:w="1202" w:type="dxa"/>
            <w:vAlign w:val="center"/>
          </w:tcPr>
          <w:p w14:paraId="0497ABE7" w14:textId="115063FC"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9,6 (9,6*)</w:t>
            </w:r>
          </w:p>
        </w:tc>
        <w:tc>
          <w:tcPr>
            <w:tcW w:w="1203" w:type="dxa"/>
            <w:noWrap/>
            <w:vAlign w:val="center"/>
            <w:hideMark/>
          </w:tcPr>
          <w:p w14:paraId="49AA76EA" w14:textId="4BC5655F"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4,6 (4,8*)</w:t>
            </w:r>
          </w:p>
        </w:tc>
        <w:tc>
          <w:tcPr>
            <w:tcW w:w="1202" w:type="dxa"/>
            <w:noWrap/>
            <w:vAlign w:val="center"/>
            <w:hideMark/>
          </w:tcPr>
          <w:p w14:paraId="2BA0B91D" w14:textId="0FDC2130"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2,5 (2,6*)</w:t>
            </w:r>
          </w:p>
        </w:tc>
        <w:tc>
          <w:tcPr>
            <w:tcW w:w="1203" w:type="dxa"/>
            <w:noWrap/>
            <w:vAlign w:val="center"/>
            <w:hideMark/>
          </w:tcPr>
          <w:p w14:paraId="4FEA59A9" w14:textId="7BE4E625"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rsidRPr="00261ECE">
              <w:t>-3,3</w:t>
            </w:r>
          </w:p>
        </w:tc>
        <w:tc>
          <w:tcPr>
            <w:tcW w:w="1202" w:type="dxa"/>
            <w:noWrap/>
            <w:vAlign w:val="center"/>
            <w:hideMark/>
          </w:tcPr>
          <w:p w14:paraId="6C7E9736" w14:textId="0C5BCB1C"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rsidRPr="00261ECE">
              <w:t>-2,9</w:t>
            </w:r>
          </w:p>
        </w:tc>
        <w:tc>
          <w:tcPr>
            <w:tcW w:w="1203" w:type="dxa"/>
            <w:noWrap/>
            <w:vAlign w:val="center"/>
            <w:hideMark/>
          </w:tcPr>
          <w:p w14:paraId="4F7BE542" w14:textId="20712F8F"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rsidRPr="00261ECE">
              <w:t>-4,</w:t>
            </w:r>
            <w:r w:rsidR="00B666BA">
              <w:t>1</w:t>
            </w:r>
          </w:p>
        </w:tc>
      </w:tr>
      <w:tr w:rsidR="0080016B" w:rsidRPr="00414819" w14:paraId="3AA8CEC3"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0D561F4B" w14:textId="2A147637" w:rsidR="0080016B" w:rsidRPr="0080016B" w:rsidRDefault="0080016B" w:rsidP="0080016B">
            <w:pPr>
              <w:pStyle w:val="Tabelid"/>
            </w:pPr>
            <w:r w:rsidRPr="0080016B">
              <w:t>Eesti Pank</w:t>
            </w:r>
          </w:p>
        </w:tc>
        <w:tc>
          <w:tcPr>
            <w:tcW w:w="1202" w:type="dxa"/>
            <w:vAlign w:val="center"/>
          </w:tcPr>
          <w:p w14:paraId="3BFB28C8" w14:textId="58C7A8E4"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rPr>
                <w:highlight w:val="yellow"/>
              </w:rPr>
            </w:pPr>
            <w:r w:rsidRPr="00E04AF6">
              <w:t>9,1</w:t>
            </w:r>
          </w:p>
        </w:tc>
        <w:tc>
          <w:tcPr>
            <w:tcW w:w="1203" w:type="dxa"/>
            <w:noWrap/>
            <w:vAlign w:val="center"/>
            <w:hideMark/>
          </w:tcPr>
          <w:p w14:paraId="2D5864C3" w14:textId="155E34AF" w:rsidR="0080016B" w:rsidRPr="0080016B" w:rsidRDefault="00E04AF6" w:rsidP="0080016B">
            <w:pPr>
              <w:pStyle w:val="Tabelid"/>
              <w:keepNext/>
              <w:jc w:val="right"/>
              <w:cnfStyle w:val="000000100000" w:firstRow="0" w:lastRow="0" w:firstColumn="0" w:lastColumn="0" w:oddVBand="0" w:evenVBand="0" w:oddHBand="1" w:evenHBand="0" w:firstRowFirstColumn="0" w:firstRowLastColumn="0" w:lastRowFirstColumn="0" w:lastRowLastColumn="0"/>
              <w:rPr>
                <w:highlight w:val="yellow"/>
              </w:rPr>
            </w:pPr>
            <w:r w:rsidRPr="00E04AF6">
              <w:t>3,9</w:t>
            </w:r>
          </w:p>
        </w:tc>
        <w:tc>
          <w:tcPr>
            <w:tcW w:w="1202" w:type="dxa"/>
            <w:noWrap/>
            <w:vAlign w:val="center"/>
            <w:hideMark/>
          </w:tcPr>
          <w:p w14:paraId="331E5A18" w14:textId="49C44615" w:rsidR="0080016B" w:rsidRPr="0080016B" w:rsidRDefault="00E04AF6" w:rsidP="0080016B">
            <w:pPr>
              <w:pStyle w:val="Tabelid"/>
              <w:keepNext/>
              <w:jc w:val="right"/>
              <w:cnfStyle w:val="000000100000" w:firstRow="0" w:lastRow="0" w:firstColumn="0" w:lastColumn="0" w:oddVBand="0" w:evenVBand="0" w:oddHBand="1" w:evenHBand="0" w:firstRowFirstColumn="0" w:firstRowLastColumn="0" w:lastRowFirstColumn="0" w:lastRowLastColumn="0"/>
              <w:rPr>
                <w:highlight w:val="yellow"/>
              </w:rPr>
            </w:pPr>
            <w:r w:rsidRPr="00E04AF6">
              <w:t>2,5</w:t>
            </w:r>
          </w:p>
        </w:tc>
        <w:tc>
          <w:tcPr>
            <w:tcW w:w="1203" w:type="dxa"/>
            <w:noWrap/>
            <w:vAlign w:val="center"/>
            <w:hideMark/>
          </w:tcPr>
          <w:p w14:paraId="2E73089C" w14:textId="386F8003"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FB55D0">
              <w:t>-</w:t>
            </w:r>
            <w:r>
              <w:t>3,4</w:t>
            </w:r>
          </w:p>
        </w:tc>
        <w:tc>
          <w:tcPr>
            <w:tcW w:w="1202" w:type="dxa"/>
            <w:noWrap/>
            <w:vAlign w:val="center"/>
            <w:hideMark/>
          </w:tcPr>
          <w:p w14:paraId="0E1E23DD" w14:textId="08786239"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-3,1</w:t>
            </w:r>
          </w:p>
        </w:tc>
        <w:tc>
          <w:tcPr>
            <w:tcW w:w="1203" w:type="dxa"/>
            <w:noWrap/>
            <w:vAlign w:val="center"/>
            <w:hideMark/>
          </w:tcPr>
          <w:p w14:paraId="35528AEF" w14:textId="3FFABC6F"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-2,4</w:t>
            </w:r>
          </w:p>
        </w:tc>
      </w:tr>
      <w:tr w:rsidR="00E62684" w:rsidRPr="00414819" w14:paraId="71FEC8E1"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7910E3CE" w14:textId="42C48715" w:rsidR="00E62684" w:rsidRPr="0080016B" w:rsidRDefault="00E62684" w:rsidP="00E62684">
            <w:pPr>
              <w:pStyle w:val="Tabelid"/>
            </w:pPr>
            <w:r w:rsidRPr="0080016B">
              <w:t>Swedbank</w:t>
            </w:r>
          </w:p>
        </w:tc>
        <w:tc>
          <w:tcPr>
            <w:tcW w:w="1202" w:type="dxa"/>
            <w:vAlign w:val="center"/>
          </w:tcPr>
          <w:p w14:paraId="1800554B" w14:textId="396E96B7"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9,8</w:t>
            </w:r>
          </w:p>
        </w:tc>
        <w:tc>
          <w:tcPr>
            <w:tcW w:w="1203" w:type="dxa"/>
            <w:noWrap/>
            <w:vAlign w:val="center"/>
            <w:hideMark/>
          </w:tcPr>
          <w:p w14:paraId="5FD4D0AC" w14:textId="18CA59CF"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4,3</w:t>
            </w:r>
          </w:p>
        </w:tc>
        <w:tc>
          <w:tcPr>
            <w:tcW w:w="1202" w:type="dxa"/>
            <w:noWrap/>
            <w:vAlign w:val="center"/>
            <w:hideMark/>
          </w:tcPr>
          <w:p w14:paraId="025639B2" w14:textId="3C4610FB"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2,4</w:t>
            </w:r>
          </w:p>
        </w:tc>
        <w:tc>
          <w:tcPr>
            <w:tcW w:w="1203" w:type="dxa"/>
            <w:noWrap/>
            <w:vAlign w:val="center"/>
            <w:hideMark/>
          </w:tcPr>
          <w:p w14:paraId="40F001A9" w14:textId="76BD0467"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-2,6</w:t>
            </w:r>
          </w:p>
        </w:tc>
        <w:tc>
          <w:tcPr>
            <w:tcW w:w="1202" w:type="dxa"/>
            <w:noWrap/>
            <w:vAlign w:val="center"/>
            <w:hideMark/>
          </w:tcPr>
          <w:p w14:paraId="527C7960" w14:textId="6B278C5B"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-3,0</w:t>
            </w:r>
          </w:p>
        </w:tc>
        <w:tc>
          <w:tcPr>
            <w:tcW w:w="1203" w:type="dxa"/>
            <w:noWrap/>
            <w:vAlign w:val="center"/>
            <w:hideMark/>
          </w:tcPr>
          <w:p w14:paraId="0C494593" w14:textId="2FE36493" w:rsidR="00E62684" w:rsidRPr="0080016B" w:rsidRDefault="00E62684" w:rsidP="00E62684">
            <w:pPr>
              <w:pStyle w:val="Tabelid"/>
              <w:keepNext/>
              <w:jc w:val="right"/>
              <w:cnfStyle w:val="000000000000" w:firstRow="0" w:lastRow="0" w:firstColumn="0" w:lastColumn="0" w:oddVBand="0" w:evenVBand="0" w:oddHBand="0" w:evenHBand="0" w:firstRowFirstColumn="0" w:firstRowLastColumn="0" w:lastRowFirstColumn="0" w:lastRowLastColumn="0"/>
            </w:pPr>
            <w:r>
              <w:t>-2,8</w:t>
            </w:r>
          </w:p>
        </w:tc>
      </w:tr>
      <w:tr w:rsidR="0080016B" w:rsidRPr="00414819" w14:paraId="63304D31"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566D4D95" w14:textId="0B687ECA" w:rsidR="0080016B" w:rsidRPr="0080016B" w:rsidRDefault="0080016B" w:rsidP="0080016B">
            <w:pPr>
              <w:pStyle w:val="Tabelid"/>
            </w:pPr>
            <w:r w:rsidRPr="0080016B">
              <w:t>SEB</w:t>
            </w:r>
          </w:p>
        </w:tc>
        <w:tc>
          <w:tcPr>
            <w:tcW w:w="1202" w:type="dxa"/>
            <w:vAlign w:val="center"/>
          </w:tcPr>
          <w:p w14:paraId="3A46320F" w14:textId="52851F61"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9,0*</w:t>
            </w:r>
          </w:p>
        </w:tc>
        <w:tc>
          <w:tcPr>
            <w:tcW w:w="1203" w:type="dxa"/>
            <w:noWrap/>
            <w:vAlign w:val="center"/>
            <w:hideMark/>
          </w:tcPr>
          <w:p w14:paraId="31FB36A0" w14:textId="3A05C8F4"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4,0*</w:t>
            </w:r>
          </w:p>
        </w:tc>
        <w:tc>
          <w:tcPr>
            <w:tcW w:w="1202" w:type="dxa"/>
            <w:noWrap/>
            <w:vAlign w:val="center"/>
            <w:hideMark/>
          </w:tcPr>
          <w:p w14:paraId="0D6B756A" w14:textId="5B6E5C76"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6E841C73" w14:textId="6529D39D"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-3,2</w:t>
            </w:r>
          </w:p>
        </w:tc>
        <w:tc>
          <w:tcPr>
            <w:tcW w:w="1202" w:type="dxa"/>
            <w:noWrap/>
            <w:vAlign w:val="center"/>
            <w:hideMark/>
          </w:tcPr>
          <w:p w14:paraId="5D4469C7" w14:textId="1C0BCDFA"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-3,0</w:t>
            </w:r>
          </w:p>
        </w:tc>
        <w:tc>
          <w:tcPr>
            <w:tcW w:w="1203" w:type="dxa"/>
            <w:noWrap/>
            <w:vAlign w:val="center"/>
            <w:hideMark/>
          </w:tcPr>
          <w:p w14:paraId="249AD6D4" w14:textId="1F2A1543"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r>
      <w:tr w:rsidR="0080016B" w:rsidRPr="00414819" w14:paraId="0DBA2DC8"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tcPr>
          <w:p w14:paraId="4F0E4A42" w14:textId="75F8979C" w:rsidR="0080016B" w:rsidRPr="0080016B" w:rsidRDefault="0080016B" w:rsidP="0080016B">
            <w:pPr>
              <w:pStyle w:val="Tabelid"/>
            </w:pPr>
            <w:proofErr w:type="spellStart"/>
            <w:r w:rsidRPr="0080016B">
              <w:t>Luminor</w:t>
            </w:r>
            <w:proofErr w:type="spellEnd"/>
          </w:p>
        </w:tc>
        <w:tc>
          <w:tcPr>
            <w:tcW w:w="1202" w:type="dxa"/>
            <w:vAlign w:val="center"/>
          </w:tcPr>
          <w:p w14:paraId="7243B0AC" w14:textId="0C04902E"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9,0</w:t>
            </w:r>
          </w:p>
        </w:tc>
        <w:tc>
          <w:tcPr>
            <w:tcW w:w="1203" w:type="dxa"/>
            <w:noWrap/>
            <w:vAlign w:val="center"/>
          </w:tcPr>
          <w:p w14:paraId="29DDA980" w14:textId="195677B7"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0,0</w:t>
            </w:r>
          </w:p>
        </w:tc>
        <w:tc>
          <w:tcPr>
            <w:tcW w:w="1202" w:type="dxa"/>
            <w:noWrap/>
            <w:vAlign w:val="center"/>
          </w:tcPr>
          <w:p w14:paraId="37BC6672" w14:textId="706542F3"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c>
          <w:tcPr>
            <w:tcW w:w="1203" w:type="dxa"/>
            <w:noWrap/>
            <w:vAlign w:val="center"/>
          </w:tcPr>
          <w:p w14:paraId="51B3002D" w14:textId="10405D7D"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-3,0</w:t>
            </w:r>
          </w:p>
        </w:tc>
        <w:tc>
          <w:tcPr>
            <w:tcW w:w="1202" w:type="dxa"/>
            <w:noWrap/>
            <w:vAlign w:val="center"/>
          </w:tcPr>
          <w:p w14:paraId="5B1A933D" w14:textId="4859A592"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-1,0</w:t>
            </w:r>
          </w:p>
        </w:tc>
        <w:tc>
          <w:tcPr>
            <w:tcW w:w="1203" w:type="dxa"/>
            <w:noWrap/>
            <w:vAlign w:val="center"/>
          </w:tcPr>
          <w:p w14:paraId="258F83A6" w14:textId="36622AFF"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r>
      <w:tr w:rsidR="0080016B" w:rsidRPr="00414819" w14:paraId="0A4733FE"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3A7B0728" w14:textId="2C496967" w:rsidR="0080016B" w:rsidRPr="0080016B" w:rsidRDefault="0080016B" w:rsidP="0080016B">
            <w:pPr>
              <w:pStyle w:val="Tabelid"/>
            </w:pPr>
            <w:proofErr w:type="spellStart"/>
            <w:r w:rsidRPr="0080016B">
              <w:t>Consensus</w:t>
            </w:r>
            <w:proofErr w:type="spellEnd"/>
            <w:r w:rsidRPr="0080016B">
              <w:t xml:space="preserve"> </w:t>
            </w:r>
            <w:proofErr w:type="spellStart"/>
            <w:r w:rsidRPr="0080016B">
              <w:t>Forecasts</w:t>
            </w:r>
            <w:proofErr w:type="spellEnd"/>
          </w:p>
        </w:tc>
        <w:tc>
          <w:tcPr>
            <w:tcW w:w="1202" w:type="dxa"/>
            <w:vAlign w:val="center"/>
          </w:tcPr>
          <w:p w14:paraId="1CCE5789" w14:textId="13EA1AF1"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9,8</w:t>
            </w:r>
          </w:p>
        </w:tc>
        <w:tc>
          <w:tcPr>
            <w:tcW w:w="1203" w:type="dxa"/>
            <w:noWrap/>
            <w:vAlign w:val="center"/>
            <w:hideMark/>
          </w:tcPr>
          <w:p w14:paraId="3300D99E" w14:textId="1B82162E"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3,5</w:t>
            </w:r>
          </w:p>
        </w:tc>
        <w:tc>
          <w:tcPr>
            <w:tcW w:w="1202" w:type="dxa"/>
            <w:noWrap/>
            <w:vAlign w:val="center"/>
            <w:hideMark/>
          </w:tcPr>
          <w:p w14:paraId="42A95ABD" w14:textId="68543366"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760AE46A" w14:textId="45ABE008"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-3,0</w:t>
            </w:r>
          </w:p>
        </w:tc>
        <w:tc>
          <w:tcPr>
            <w:tcW w:w="1202" w:type="dxa"/>
            <w:noWrap/>
            <w:vAlign w:val="center"/>
            <w:hideMark/>
          </w:tcPr>
          <w:p w14:paraId="1AE9BBF5" w14:textId="3CCEFEFD"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-2,4</w:t>
            </w:r>
          </w:p>
        </w:tc>
        <w:tc>
          <w:tcPr>
            <w:tcW w:w="1203" w:type="dxa"/>
            <w:noWrap/>
            <w:vAlign w:val="center"/>
            <w:hideMark/>
          </w:tcPr>
          <w:p w14:paraId="13DC6CD0" w14:textId="18781256"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r>
      <w:tr w:rsidR="0080016B" w:rsidRPr="00414819" w14:paraId="30E42064"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68A2553D" w14:textId="73846C5D" w:rsidR="0080016B" w:rsidRPr="0080016B" w:rsidRDefault="0080016B" w:rsidP="0080016B">
            <w:pPr>
              <w:pStyle w:val="Tabelid"/>
            </w:pPr>
            <w:r w:rsidRPr="0080016B">
              <w:t>Euroopa Komisjon</w:t>
            </w:r>
          </w:p>
        </w:tc>
        <w:tc>
          <w:tcPr>
            <w:tcW w:w="1202" w:type="dxa"/>
            <w:vAlign w:val="center"/>
          </w:tcPr>
          <w:p w14:paraId="36ACE751" w14:textId="0CC8DC2B"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9,2*</w:t>
            </w:r>
          </w:p>
        </w:tc>
        <w:tc>
          <w:tcPr>
            <w:tcW w:w="1203" w:type="dxa"/>
            <w:noWrap/>
            <w:vAlign w:val="center"/>
            <w:hideMark/>
          </w:tcPr>
          <w:p w14:paraId="2232E652" w14:textId="435B5E75"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2,8*</w:t>
            </w:r>
          </w:p>
        </w:tc>
        <w:tc>
          <w:tcPr>
            <w:tcW w:w="1202" w:type="dxa"/>
            <w:noWrap/>
            <w:vAlign w:val="center"/>
            <w:hideMark/>
          </w:tcPr>
          <w:p w14:paraId="15BA8DBE" w14:textId="70C6EA28"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c>
          <w:tcPr>
            <w:tcW w:w="1203" w:type="dxa"/>
            <w:noWrap/>
            <w:vAlign w:val="center"/>
            <w:hideMark/>
          </w:tcPr>
          <w:p w14:paraId="30DC5D1C" w14:textId="3C5A6495"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-3,1</w:t>
            </w:r>
          </w:p>
        </w:tc>
        <w:tc>
          <w:tcPr>
            <w:tcW w:w="1202" w:type="dxa"/>
            <w:noWrap/>
            <w:vAlign w:val="center"/>
            <w:hideMark/>
          </w:tcPr>
          <w:p w14:paraId="10ECBFA9" w14:textId="6B7F2CBC"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-2,7</w:t>
            </w:r>
          </w:p>
        </w:tc>
        <w:tc>
          <w:tcPr>
            <w:tcW w:w="1203" w:type="dxa"/>
            <w:noWrap/>
            <w:vAlign w:val="center"/>
            <w:hideMark/>
          </w:tcPr>
          <w:p w14:paraId="65816A9E" w14:textId="33F2883F"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r>
      <w:tr w:rsidR="0080016B" w:rsidRPr="00414819" w14:paraId="16966B52"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3ABB72DF" w14:textId="7F1EAF96" w:rsidR="0080016B" w:rsidRPr="0080016B" w:rsidRDefault="0080016B" w:rsidP="0080016B">
            <w:pPr>
              <w:pStyle w:val="Tabelid"/>
            </w:pPr>
            <w:r w:rsidRPr="0080016B">
              <w:t>IMF</w:t>
            </w:r>
          </w:p>
        </w:tc>
        <w:tc>
          <w:tcPr>
            <w:tcW w:w="1202" w:type="dxa"/>
            <w:vAlign w:val="center"/>
          </w:tcPr>
          <w:p w14:paraId="4432A6FC" w14:textId="120C6FFE"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9,7</w:t>
            </w:r>
            <w:r w:rsidRPr="004C663F">
              <w:t>*</w:t>
            </w:r>
          </w:p>
        </w:tc>
        <w:tc>
          <w:tcPr>
            <w:tcW w:w="1203" w:type="dxa"/>
            <w:noWrap/>
            <w:vAlign w:val="center"/>
            <w:hideMark/>
          </w:tcPr>
          <w:p w14:paraId="663CE072" w14:textId="33F72ABF"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3,7*</w:t>
            </w:r>
          </w:p>
        </w:tc>
        <w:tc>
          <w:tcPr>
            <w:tcW w:w="1202" w:type="dxa"/>
            <w:noWrap/>
            <w:vAlign w:val="center"/>
            <w:hideMark/>
          </w:tcPr>
          <w:p w14:paraId="487B5985" w14:textId="3B882744"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3,2*</w:t>
            </w:r>
          </w:p>
        </w:tc>
        <w:tc>
          <w:tcPr>
            <w:tcW w:w="1203" w:type="dxa"/>
            <w:noWrap/>
            <w:vAlign w:val="center"/>
            <w:hideMark/>
          </w:tcPr>
          <w:p w14:paraId="3F261091" w14:textId="3A464050"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rsidRPr="004C663F">
              <w:t>-</w:t>
            </w:r>
            <w:r>
              <w:t>4,5</w:t>
            </w:r>
          </w:p>
        </w:tc>
        <w:tc>
          <w:tcPr>
            <w:tcW w:w="1202" w:type="dxa"/>
            <w:noWrap/>
            <w:vAlign w:val="center"/>
            <w:hideMark/>
          </w:tcPr>
          <w:p w14:paraId="32566EEE" w14:textId="031659F0"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-3,2</w:t>
            </w:r>
          </w:p>
        </w:tc>
        <w:tc>
          <w:tcPr>
            <w:tcW w:w="1203" w:type="dxa"/>
            <w:noWrap/>
            <w:vAlign w:val="center"/>
            <w:hideMark/>
          </w:tcPr>
          <w:p w14:paraId="38EA7BA6" w14:textId="065CC4F0"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-2,8</w:t>
            </w:r>
          </w:p>
        </w:tc>
      </w:tr>
      <w:tr w:rsidR="0080016B" w:rsidRPr="00414819" w14:paraId="56BD24D4" w14:textId="77777777" w:rsidTr="00820EBE">
        <w:trPr>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239FDE5D" w14:textId="419F60ED" w:rsidR="0080016B" w:rsidRPr="0080016B" w:rsidRDefault="0080016B" w:rsidP="0080016B">
            <w:pPr>
              <w:pStyle w:val="Tabelid"/>
            </w:pPr>
            <w:r w:rsidRPr="0080016B">
              <w:t>OECD</w:t>
            </w:r>
          </w:p>
        </w:tc>
        <w:tc>
          <w:tcPr>
            <w:tcW w:w="1202" w:type="dxa"/>
            <w:vAlign w:val="center"/>
          </w:tcPr>
          <w:p w14:paraId="47226AC1" w14:textId="6E34A2F3"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9,2</w:t>
            </w:r>
            <w:r w:rsidRPr="00343FBF">
              <w:t>*</w:t>
            </w:r>
          </w:p>
        </w:tc>
        <w:tc>
          <w:tcPr>
            <w:tcW w:w="1203" w:type="dxa"/>
            <w:noWrap/>
            <w:vAlign w:val="center"/>
            <w:hideMark/>
          </w:tcPr>
          <w:p w14:paraId="0E664735" w14:textId="116303F4"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3,4*</w:t>
            </w:r>
          </w:p>
        </w:tc>
        <w:tc>
          <w:tcPr>
            <w:tcW w:w="1202" w:type="dxa"/>
            <w:noWrap/>
            <w:vAlign w:val="center"/>
            <w:hideMark/>
          </w:tcPr>
          <w:p w14:paraId="04C66E9C" w14:textId="495F5B6E"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c>
          <w:tcPr>
            <w:tcW w:w="1203" w:type="dxa"/>
            <w:noWrap/>
            <w:vAlign w:val="center"/>
            <w:hideMark/>
          </w:tcPr>
          <w:p w14:paraId="4B8E0C8C" w14:textId="39A979AD"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-3,2</w:t>
            </w:r>
          </w:p>
        </w:tc>
        <w:tc>
          <w:tcPr>
            <w:tcW w:w="1202" w:type="dxa"/>
            <w:noWrap/>
            <w:vAlign w:val="center"/>
            <w:hideMark/>
          </w:tcPr>
          <w:p w14:paraId="23842157" w14:textId="6345B4C8"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-2,1</w:t>
            </w:r>
          </w:p>
        </w:tc>
        <w:tc>
          <w:tcPr>
            <w:tcW w:w="1203" w:type="dxa"/>
            <w:noWrap/>
            <w:vAlign w:val="center"/>
            <w:hideMark/>
          </w:tcPr>
          <w:p w14:paraId="1EFFCF37" w14:textId="0CC28669" w:rsidR="0080016B" w:rsidRPr="0080016B" w:rsidRDefault="0080016B" w:rsidP="0080016B">
            <w:pPr>
              <w:pStyle w:val="Tabelid"/>
              <w:keepNext/>
              <w:jc w:val="right"/>
              <w:cnfStyle w:val="000000000000" w:firstRow="0" w:lastRow="0" w:firstColumn="0" w:lastColumn="0" w:oddVBand="0" w:evenVBand="0" w:oddHBand="0" w:evenHBand="0" w:firstRowFirstColumn="0" w:firstRowLastColumn="0" w:lastRowFirstColumn="0" w:lastRowLastColumn="0"/>
            </w:pPr>
            <w:r>
              <w:t>-</w:t>
            </w:r>
          </w:p>
        </w:tc>
      </w:tr>
      <w:tr w:rsidR="0080016B" w:rsidRPr="00414819" w14:paraId="518830C2" w14:textId="77777777" w:rsidTr="00820EBE">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3" w:type="dxa"/>
            <w:noWrap/>
            <w:hideMark/>
          </w:tcPr>
          <w:p w14:paraId="313ACD88" w14:textId="7AAF850E" w:rsidR="0080016B" w:rsidRPr="0080016B" w:rsidRDefault="0080016B" w:rsidP="0080016B">
            <w:pPr>
              <w:pStyle w:val="Tabelid"/>
            </w:pPr>
            <w:r w:rsidRPr="0080016B">
              <w:t>Konjunktuuriinstituut</w:t>
            </w:r>
          </w:p>
        </w:tc>
        <w:tc>
          <w:tcPr>
            <w:tcW w:w="1202" w:type="dxa"/>
            <w:vAlign w:val="center"/>
          </w:tcPr>
          <w:p w14:paraId="37EB9F31" w14:textId="4857318A"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9,0</w:t>
            </w:r>
          </w:p>
        </w:tc>
        <w:tc>
          <w:tcPr>
            <w:tcW w:w="1203" w:type="dxa"/>
            <w:noWrap/>
            <w:vAlign w:val="center"/>
            <w:hideMark/>
          </w:tcPr>
          <w:p w14:paraId="6546EAE6" w14:textId="288E82D7"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2" w:type="dxa"/>
            <w:noWrap/>
            <w:vAlign w:val="center"/>
            <w:hideMark/>
          </w:tcPr>
          <w:p w14:paraId="6CAE5A0F" w14:textId="3602DF73"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77C1EFDA" w14:textId="542B3609"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2" w:type="dxa"/>
            <w:noWrap/>
            <w:vAlign w:val="center"/>
            <w:hideMark/>
          </w:tcPr>
          <w:p w14:paraId="661B6884" w14:textId="5254A84F"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c>
          <w:tcPr>
            <w:tcW w:w="1203" w:type="dxa"/>
            <w:noWrap/>
            <w:vAlign w:val="center"/>
            <w:hideMark/>
          </w:tcPr>
          <w:p w14:paraId="44858691" w14:textId="1923DE88" w:rsidR="0080016B" w:rsidRPr="0080016B" w:rsidRDefault="0080016B" w:rsidP="0080016B">
            <w:pPr>
              <w:pStyle w:val="Tabelid"/>
              <w:keepNext/>
              <w:jc w:val="right"/>
              <w:cnfStyle w:val="000000100000" w:firstRow="0" w:lastRow="0" w:firstColumn="0" w:lastColumn="0" w:oddVBand="0" w:evenVBand="0" w:oddHBand="1" w:evenHBand="0" w:firstRowFirstColumn="0" w:firstRowLastColumn="0" w:lastRowFirstColumn="0" w:lastRowLastColumn="0"/>
            </w:pPr>
            <w:r>
              <w:t>-</w:t>
            </w:r>
          </w:p>
        </w:tc>
      </w:tr>
    </w:tbl>
    <w:p w14:paraId="70C35246" w14:textId="77777777" w:rsidR="000C5EDE" w:rsidRPr="0080016B" w:rsidRDefault="000C5EDE" w:rsidP="000C5EDE">
      <w:pPr>
        <w:pStyle w:val="Mrkus"/>
        <w:spacing w:before="0" w:after="0"/>
      </w:pPr>
      <w:r w:rsidRPr="0080016B">
        <w:t xml:space="preserve">* Tarbijahindade harmoneeritud indeks. </w:t>
      </w:r>
    </w:p>
    <w:p w14:paraId="1038326E" w14:textId="77777777" w:rsidR="000C5EDE" w:rsidRPr="0080016B" w:rsidRDefault="000C5EDE" w:rsidP="000C5EDE">
      <w:pPr>
        <w:pStyle w:val="Mrkus"/>
        <w:spacing w:before="0" w:after="0"/>
      </w:pPr>
      <w:r w:rsidRPr="0080016B">
        <w:t>** Arvutatud nominaalse SKP mahu prognoosi või SKP reaalkasvu ja deflaatori summeerimise põhjal.</w:t>
      </w:r>
    </w:p>
    <w:p w14:paraId="460A122D" w14:textId="77777777" w:rsidR="008A60BD" w:rsidRPr="00414819" w:rsidRDefault="008A60BD" w:rsidP="000C5EDE">
      <w:pPr>
        <w:pStyle w:val="Mrkus"/>
        <w:spacing w:after="0"/>
        <w:rPr>
          <w:highlight w:val="yellow"/>
        </w:rPr>
      </w:pPr>
    </w:p>
    <w:p w14:paraId="56F3681F" w14:textId="1B0FBE73" w:rsidR="000C5EDE" w:rsidRPr="008478E8" w:rsidRDefault="000C5EDE" w:rsidP="000C5EDE">
      <w:pPr>
        <w:pStyle w:val="Mrkus"/>
        <w:spacing w:after="0"/>
      </w:pPr>
      <w:r w:rsidRPr="008478E8">
        <w:t>Allikad:</w:t>
      </w:r>
    </w:p>
    <w:p w14:paraId="000BD87A" w14:textId="77777777" w:rsidR="0080016B" w:rsidRPr="008478E8" w:rsidRDefault="0080016B" w:rsidP="0080016B">
      <w:pPr>
        <w:pStyle w:val="Mrkus"/>
        <w:spacing w:after="0"/>
      </w:pPr>
      <w:r w:rsidRPr="008478E8">
        <w:t>Rahandusministeeriumi suvine majandusprognoos 2023. 24.08.2023.</w:t>
      </w:r>
    </w:p>
    <w:p w14:paraId="617C772B" w14:textId="77777777" w:rsidR="0080016B" w:rsidRPr="008478E8" w:rsidRDefault="0080016B" w:rsidP="0080016B">
      <w:pPr>
        <w:pStyle w:val="Mrkus"/>
        <w:spacing w:after="0"/>
      </w:pPr>
      <w:r w:rsidRPr="008478E8">
        <w:t>Eesti Pank, Rahapoliitika ja majandus. 2/2023. 20.06.2023.</w:t>
      </w:r>
    </w:p>
    <w:p w14:paraId="7EF484F6" w14:textId="00A63BF1" w:rsidR="0080016B" w:rsidRPr="008478E8" w:rsidRDefault="0080016B" w:rsidP="0080016B">
      <w:pPr>
        <w:pStyle w:val="Mrkus"/>
        <w:spacing w:after="0"/>
      </w:pPr>
      <w:r w:rsidRPr="008478E8">
        <w:t xml:space="preserve">Swedbank. </w:t>
      </w:r>
      <w:r w:rsidR="00E62684" w:rsidRPr="00A655EC">
        <w:t xml:space="preserve">Swedbank </w:t>
      </w:r>
      <w:proofErr w:type="spellStart"/>
      <w:r w:rsidR="00E62684" w:rsidRPr="00A655EC">
        <w:t>Economic</w:t>
      </w:r>
      <w:proofErr w:type="spellEnd"/>
      <w:r w:rsidR="00E62684" w:rsidRPr="00A655EC">
        <w:t xml:space="preserve"> Outlook</w:t>
      </w:r>
      <w:r w:rsidR="00E62684">
        <w:t xml:space="preserve"> </w:t>
      </w:r>
      <w:r w:rsidR="00E62684" w:rsidRPr="00A655EC">
        <w:t xml:space="preserve">– </w:t>
      </w:r>
      <w:r w:rsidR="00E62684">
        <w:t>August</w:t>
      </w:r>
      <w:r w:rsidR="00E62684" w:rsidRPr="00A655EC">
        <w:t xml:space="preserve"> 20</w:t>
      </w:r>
      <w:r w:rsidR="00E62684">
        <w:t>23.</w:t>
      </w:r>
      <w:r w:rsidR="00E62684" w:rsidRPr="00A655EC">
        <w:t xml:space="preserve"> </w:t>
      </w:r>
      <w:r w:rsidR="00E62684">
        <w:t>23.08.</w:t>
      </w:r>
      <w:r w:rsidR="00E62684" w:rsidRPr="00A655EC">
        <w:t>20</w:t>
      </w:r>
      <w:r w:rsidR="00E62684">
        <w:t>23</w:t>
      </w:r>
      <w:r w:rsidRPr="008478E8">
        <w:t>.</w:t>
      </w:r>
      <w:r w:rsidR="00E62684">
        <w:t xml:space="preserve"> </w:t>
      </w:r>
    </w:p>
    <w:p w14:paraId="059DBEC4" w14:textId="77777777" w:rsidR="0080016B" w:rsidRPr="008478E8" w:rsidRDefault="0080016B" w:rsidP="0080016B">
      <w:pPr>
        <w:pStyle w:val="Mrkus"/>
        <w:spacing w:after="0"/>
      </w:pPr>
      <w:r w:rsidRPr="008478E8">
        <w:t xml:space="preserve">SEB. Nordic Outlook. </w:t>
      </w:r>
      <w:proofErr w:type="spellStart"/>
      <w:r w:rsidRPr="008478E8">
        <w:t>May</w:t>
      </w:r>
      <w:proofErr w:type="spellEnd"/>
      <w:r w:rsidRPr="008478E8">
        <w:t xml:space="preserve"> 2023. 03.05.2023. </w:t>
      </w:r>
    </w:p>
    <w:p w14:paraId="0FAC202D" w14:textId="77777777" w:rsidR="0080016B" w:rsidRPr="008478E8" w:rsidRDefault="0080016B" w:rsidP="0080016B">
      <w:pPr>
        <w:pStyle w:val="Mrkus"/>
        <w:spacing w:after="0"/>
      </w:pPr>
      <w:proofErr w:type="spellStart"/>
      <w:r w:rsidRPr="008478E8">
        <w:t>Luminor</w:t>
      </w:r>
      <w:proofErr w:type="spellEnd"/>
      <w:r w:rsidRPr="008478E8">
        <w:t>. Eesti majanduse ülevaade ja väljavaade - kevad 2023. 15.03.2023.</w:t>
      </w:r>
    </w:p>
    <w:p w14:paraId="595B0FF3" w14:textId="77777777" w:rsidR="0080016B" w:rsidRPr="008478E8" w:rsidRDefault="0080016B" w:rsidP="0080016B">
      <w:pPr>
        <w:pStyle w:val="Mrkus"/>
        <w:spacing w:after="0"/>
      </w:pPr>
      <w:proofErr w:type="spellStart"/>
      <w:r w:rsidRPr="008478E8">
        <w:t>Eastern</w:t>
      </w:r>
      <w:proofErr w:type="spellEnd"/>
      <w:r w:rsidRPr="008478E8">
        <w:t xml:space="preserve"> Europe </w:t>
      </w:r>
      <w:proofErr w:type="spellStart"/>
      <w:r w:rsidRPr="008478E8">
        <w:t>Consensus</w:t>
      </w:r>
      <w:proofErr w:type="spellEnd"/>
      <w:r w:rsidRPr="008478E8">
        <w:t xml:space="preserve"> </w:t>
      </w:r>
      <w:proofErr w:type="spellStart"/>
      <w:r w:rsidRPr="008478E8">
        <w:t>Forecasts</w:t>
      </w:r>
      <w:proofErr w:type="spellEnd"/>
      <w:r w:rsidRPr="008478E8">
        <w:t>. 17.07.2023.</w:t>
      </w:r>
    </w:p>
    <w:p w14:paraId="157FC08F" w14:textId="77777777" w:rsidR="0080016B" w:rsidRPr="008478E8" w:rsidRDefault="0080016B" w:rsidP="0080016B">
      <w:pPr>
        <w:pStyle w:val="Mrkus"/>
        <w:spacing w:after="0"/>
      </w:pPr>
      <w:proofErr w:type="spellStart"/>
      <w:r w:rsidRPr="008478E8">
        <w:t>European</w:t>
      </w:r>
      <w:proofErr w:type="spellEnd"/>
      <w:r w:rsidRPr="008478E8">
        <w:t xml:space="preserve"> </w:t>
      </w:r>
      <w:proofErr w:type="spellStart"/>
      <w:r w:rsidRPr="008478E8">
        <w:t>Commission</w:t>
      </w:r>
      <w:proofErr w:type="spellEnd"/>
      <w:r w:rsidRPr="008478E8">
        <w:t xml:space="preserve">. </w:t>
      </w:r>
      <w:proofErr w:type="spellStart"/>
      <w:r w:rsidRPr="008478E8">
        <w:t>European</w:t>
      </w:r>
      <w:proofErr w:type="spellEnd"/>
      <w:r w:rsidRPr="008478E8">
        <w:t xml:space="preserve"> </w:t>
      </w:r>
      <w:proofErr w:type="spellStart"/>
      <w:r w:rsidRPr="008478E8">
        <w:t>Economic</w:t>
      </w:r>
      <w:proofErr w:type="spellEnd"/>
      <w:r w:rsidRPr="008478E8">
        <w:t xml:space="preserve"> </w:t>
      </w:r>
      <w:proofErr w:type="spellStart"/>
      <w:r w:rsidRPr="008478E8">
        <w:t>Forecast</w:t>
      </w:r>
      <w:proofErr w:type="spellEnd"/>
      <w:r w:rsidRPr="008478E8">
        <w:t xml:space="preserve">. </w:t>
      </w:r>
      <w:proofErr w:type="spellStart"/>
      <w:r w:rsidRPr="008478E8">
        <w:t>Spring</w:t>
      </w:r>
      <w:proofErr w:type="spellEnd"/>
      <w:r w:rsidRPr="008478E8">
        <w:t xml:space="preserve"> 2023. 15.05.2023.</w:t>
      </w:r>
    </w:p>
    <w:p w14:paraId="610AFB46" w14:textId="77777777" w:rsidR="0080016B" w:rsidRPr="008478E8" w:rsidRDefault="0080016B" w:rsidP="0080016B">
      <w:pPr>
        <w:pStyle w:val="Mrkus"/>
        <w:spacing w:after="0"/>
      </w:pPr>
      <w:r w:rsidRPr="008478E8">
        <w:t xml:space="preserve">IMF. 2023 </w:t>
      </w:r>
      <w:proofErr w:type="spellStart"/>
      <w:r w:rsidRPr="008478E8">
        <w:t>Article</w:t>
      </w:r>
      <w:proofErr w:type="spellEnd"/>
      <w:r w:rsidRPr="008478E8">
        <w:t xml:space="preserve"> IV </w:t>
      </w:r>
      <w:proofErr w:type="spellStart"/>
      <w:r w:rsidRPr="008478E8">
        <w:t>Report</w:t>
      </w:r>
      <w:proofErr w:type="spellEnd"/>
      <w:r w:rsidRPr="008478E8">
        <w:t xml:space="preserve"> – </w:t>
      </w:r>
      <w:proofErr w:type="spellStart"/>
      <w:r w:rsidRPr="008478E8">
        <w:t>Republic</w:t>
      </w:r>
      <w:proofErr w:type="spellEnd"/>
      <w:r w:rsidRPr="008478E8">
        <w:t xml:space="preserve"> of Estonia. 29.07.2023.</w:t>
      </w:r>
    </w:p>
    <w:p w14:paraId="7D5697A6" w14:textId="77777777" w:rsidR="0080016B" w:rsidRPr="008478E8" w:rsidRDefault="0080016B" w:rsidP="0080016B">
      <w:pPr>
        <w:pStyle w:val="Mrkus"/>
        <w:spacing w:after="0"/>
      </w:pPr>
      <w:r w:rsidRPr="008478E8">
        <w:t xml:space="preserve">OECD </w:t>
      </w:r>
      <w:proofErr w:type="spellStart"/>
      <w:r w:rsidRPr="008478E8">
        <w:t>Economic</w:t>
      </w:r>
      <w:proofErr w:type="spellEnd"/>
      <w:r w:rsidRPr="008478E8">
        <w:t xml:space="preserve"> Outlook. No 113. </w:t>
      </w:r>
      <w:proofErr w:type="spellStart"/>
      <w:r w:rsidRPr="008478E8">
        <w:t>June</w:t>
      </w:r>
      <w:proofErr w:type="spellEnd"/>
      <w:r w:rsidRPr="008478E8">
        <w:t xml:space="preserve"> 2023. 07.06.2023.</w:t>
      </w:r>
    </w:p>
    <w:p w14:paraId="43787ACD" w14:textId="7E04B8BB" w:rsidR="0080016B" w:rsidRPr="0080016B" w:rsidRDefault="0080016B" w:rsidP="0080016B">
      <w:pPr>
        <w:pStyle w:val="Mrkus"/>
        <w:spacing w:after="0"/>
      </w:pPr>
      <w:r w:rsidRPr="008478E8">
        <w:t>Konjunktuuriinstituut. Konjunktuur nr 2 (225) 2023. 19.07.2023</w:t>
      </w:r>
    </w:p>
    <w:p w14:paraId="6F5A2570" w14:textId="7A6CC5C9" w:rsidR="00CA5A7E" w:rsidRPr="00414819" w:rsidRDefault="00CA5A7E" w:rsidP="00962D18">
      <w:pPr>
        <w:keepNext/>
        <w:rPr>
          <w:highlight w:val="yellow"/>
        </w:rPr>
      </w:pPr>
    </w:p>
    <w:p w14:paraId="39ECB1CC" w14:textId="61D1F73D" w:rsidR="003A727F" w:rsidRPr="00D94AA6" w:rsidRDefault="003A727F" w:rsidP="003A727F">
      <w:pPr>
        <w:pStyle w:val="Caption"/>
      </w:pPr>
      <w:bookmarkStart w:id="246" w:name="_Toc143775553"/>
      <w:r w:rsidRPr="00D94AA6">
        <w:t xml:space="preserve">Tabel </w:t>
      </w:r>
      <w:r w:rsidR="004C0EAE">
        <w:fldChar w:fldCharType="begin"/>
      </w:r>
      <w:r w:rsidR="004C0EAE">
        <w:instrText xml:space="preserve"> SEQ Tabel \* ARABIC </w:instrText>
      </w:r>
      <w:r w:rsidR="004C0EAE">
        <w:fldChar w:fldCharType="separate"/>
      </w:r>
      <w:r w:rsidR="008478E8">
        <w:rPr>
          <w:noProof/>
        </w:rPr>
        <w:t>12</w:t>
      </w:r>
      <w:r w:rsidR="004C0EAE">
        <w:rPr>
          <w:noProof/>
        </w:rPr>
        <w:fldChar w:fldCharType="end"/>
      </w:r>
      <w:r w:rsidRPr="00D94AA6">
        <w:t>. Prognoosi olulisemad väliseeldused (%)</w:t>
      </w:r>
      <w:bookmarkEnd w:id="246"/>
    </w:p>
    <w:tbl>
      <w:tblPr>
        <w:tblStyle w:val="TableSubtle1"/>
        <w:tblW w:w="9993" w:type="dxa"/>
        <w:tblLayout w:type="fixed"/>
        <w:tblLook w:val="04A0" w:firstRow="1" w:lastRow="0" w:firstColumn="1" w:lastColumn="0" w:noHBand="0" w:noVBand="1"/>
      </w:tblPr>
      <w:tblGrid>
        <w:gridCol w:w="2905"/>
        <w:gridCol w:w="1012"/>
        <w:gridCol w:w="1013"/>
        <w:gridCol w:w="1012"/>
        <w:gridCol w:w="1013"/>
        <w:gridCol w:w="1012"/>
        <w:gridCol w:w="1013"/>
        <w:gridCol w:w="1013"/>
      </w:tblGrid>
      <w:tr w:rsidR="00CA5A7E" w:rsidRPr="00671E0C" w14:paraId="7BD02E14" w14:textId="77777777" w:rsidTr="005C1EE6">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5" w:type="dxa"/>
            <w:hideMark/>
          </w:tcPr>
          <w:p w14:paraId="0CDF2D20" w14:textId="77777777" w:rsidR="00CA5A7E" w:rsidRPr="00671E0C" w:rsidRDefault="00CA5A7E" w:rsidP="00962D18">
            <w:pPr>
              <w:pStyle w:val="Tabelid"/>
              <w:keepNext/>
            </w:pPr>
            <w:bookmarkStart w:id="247" w:name="_Hlk62122948"/>
          </w:p>
        </w:tc>
        <w:tc>
          <w:tcPr>
            <w:tcW w:w="7088" w:type="dxa"/>
            <w:gridSpan w:val="7"/>
          </w:tcPr>
          <w:p w14:paraId="68D2D8B3" w14:textId="26601926" w:rsidR="00CA5A7E" w:rsidRPr="00671E0C" w:rsidRDefault="00CA5A7E" w:rsidP="00962D18">
            <w:pPr>
              <w:pStyle w:val="Tabelid"/>
              <w:keepNext/>
              <w:cnfStyle w:val="100000000000" w:firstRow="1" w:lastRow="0" w:firstColumn="0" w:lastColumn="0" w:oddVBand="0" w:evenVBand="0" w:oddHBand="0" w:evenHBand="0" w:firstRowFirstColumn="0" w:firstRowLastColumn="0" w:lastRowFirstColumn="0" w:lastRowLastColumn="0"/>
            </w:pPr>
            <w:r w:rsidRPr="00671E0C">
              <w:t xml:space="preserve">Eeldused 2023. aasta </w:t>
            </w:r>
            <w:r w:rsidR="00671E0C">
              <w:t>suvises</w:t>
            </w:r>
            <w:r w:rsidRPr="00671E0C">
              <w:t xml:space="preserve"> prognoosis</w:t>
            </w:r>
          </w:p>
        </w:tc>
      </w:tr>
      <w:tr w:rsidR="00CA5A7E" w:rsidRPr="00671E0C" w14:paraId="55008AB8" w14:textId="77777777" w:rsidTr="005C1EE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5" w:type="dxa"/>
            <w:hideMark/>
          </w:tcPr>
          <w:p w14:paraId="7C84BA69" w14:textId="77777777" w:rsidR="00CA5A7E" w:rsidRPr="00671E0C" w:rsidRDefault="00CA5A7E" w:rsidP="00962D18">
            <w:pPr>
              <w:pStyle w:val="Tabelid"/>
              <w:keepNext/>
            </w:pPr>
            <w:r w:rsidRPr="00671E0C">
              <w:t> </w:t>
            </w:r>
          </w:p>
        </w:tc>
        <w:tc>
          <w:tcPr>
            <w:tcW w:w="1012" w:type="dxa"/>
          </w:tcPr>
          <w:p w14:paraId="0AF045CF" w14:textId="77777777" w:rsidR="00CA5A7E" w:rsidRPr="00671E0C" w:rsidRDefault="00CA5A7E" w:rsidP="00962D18">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t xml:space="preserve">2011–20 </w:t>
            </w:r>
          </w:p>
        </w:tc>
        <w:tc>
          <w:tcPr>
            <w:tcW w:w="1013" w:type="dxa"/>
            <w:noWrap/>
          </w:tcPr>
          <w:p w14:paraId="3EB2CCD3" w14:textId="77777777" w:rsidR="00CA5A7E" w:rsidRPr="00671E0C" w:rsidRDefault="00CA5A7E" w:rsidP="00962D18">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t>2022</w:t>
            </w:r>
          </w:p>
        </w:tc>
        <w:tc>
          <w:tcPr>
            <w:tcW w:w="1012" w:type="dxa"/>
            <w:noWrap/>
          </w:tcPr>
          <w:p w14:paraId="6C687E16" w14:textId="77777777" w:rsidR="00CA5A7E" w:rsidRPr="00671E0C" w:rsidRDefault="00CA5A7E" w:rsidP="00962D18">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t>2023</w:t>
            </w:r>
          </w:p>
        </w:tc>
        <w:tc>
          <w:tcPr>
            <w:tcW w:w="1013" w:type="dxa"/>
            <w:noWrap/>
          </w:tcPr>
          <w:p w14:paraId="7FB9FE1C" w14:textId="77777777" w:rsidR="00CA5A7E" w:rsidRPr="00671E0C" w:rsidRDefault="00CA5A7E" w:rsidP="00962D18">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t>2024</w:t>
            </w:r>
          </w:p>
        </w:tc>
        <w:tc>
          <w:tcPr>
            <w:tcW w:w="1012" w:type="dxa"/>
            <w:noWrap/>
          </w:tcPr>
          <w:p w14:paraId="1D567C93" w14:textId="77777777" w:rsidR="00CA5A7E" w:rsidRPr="00671E0C" w:rsidRDefault="00CA5A7E" w:rsidP="00962D18">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t>2025</w:t>
            </w:r>
          </w:p>
        </w:tc>
        <w:tc>
          <w:tcPr>
            <w:tcW w:w="1013" w:type="dxa"/>
            <w:noWrap/>
          </w:tcPr>
          <w:p w14:paraId="19F5C562" w14:textId="77777777" w:rsidR="00CA5A7E" w:rsidRPr="00671E0C" w:rsidRDefault="00CA5A7E" w:rsidP="00962D18">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t>2026</w:t>
            </w:r>
          </w:p>
        </w:tc>
        <w:tc>
          <w:tcPr>
            <w:tcW w:w="1013" w:type="dxa"/>
            <w:noWrap/>
          </w:tcPr>
          <w:p w14:paraId="04A1FA00" w14:textId="77777777" w:rsidR="00CA5A7E" w:rsidRPr="00671E0C" w:rsidRDefault="00CA5A7E" w:rsidP="00962D18">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t>2027</w:t>
            </w:r>
          </w:p>
        </w:tc>
      </w:tr>
      <w:tr w:rsidR="00616C25" w:rsidRPr="00671E0C" w14:paraId="3CBE446B" w14:textId="77777777" w:rsidTr="005C1EE6">
        <w:trPr>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10D6A1F1" w14:textId="77777777" w:rsidR="00616C25" w:rsidRPr="00671E0C" w:rsidRDefault="00616C25" w:rsidP="00616C25">
            <w:pPr>
              <w:pStyle w:val="Tabelid"/>
              <w:keepNext/>
            </w:pPr>
            <w:r w:rsidRPr="00671E0C">
              <w:rPr>
                <w:color w:val="000000"/>
              </w:rPr>
              <w:t>1. Euroala 3-kuu intressi</w:t>
            </w:r>
            <w:r w:rsidRPr="00671E0C">
              <w:rPr>
                <w:color w:val="000000"/>
              </w:rPr>
              <w:softHyphen/>
              <w:t>määr (aasta keskmine)</w:t>
            </w:r>
          </w:p>
        </w:tc>
        <w:tc>
          <w:tcPr>
            <w:tcW w:w="1012" w:type="dxa"/>
            <w:vAlign w:val="center"/>
          </w:tcPr>
          <w:p w14:paraId="150F6003" w14:textId="6361F2EE"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671E0C">
              <w:rPr>
                <w:color w:val="000000"/>
              </w:rPr>
              <w:t>0,1</w:t>
            </w:r>
          </w:p>
        </w:tc>
        <w:tc>
          <w:tcPr>
            <w:tcW w:w="1013" w:type="dxa"/>
            <w:noWrap/>
            <w:vAlign w:val="center"/>
          </w:tcPr>
          <w:p w14:paraId="09E3152E" w14:textId="41E30012"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0,4</w:t>
            </w:r>
          </w:p>
        </w:tc>
        <w:tc>
          <w:tcPr>
            <w:tcW w:w="1012" w:type="dxa"/>
            <w:noWrap/>
            <w:vAlign w:val="center"/>
          </w:tcPr>
          <w:p w14:paraId="67B04121" w14:textId="134DD9AF"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3,4</w:t>
            </w:r>
          </w:p>
        </w:tc>
        <w:tc>
          <w:tcPr>
            <w:tcW w:w="1013" w:type="dxa"/>
            <w:noWrap/>
            <w:vAlign w:val="center"/>
          </w:tcPr>
          <w:p w14:paraId="6FBF6A66" w14:textId="4BCB8F52"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3,5</w:t>
            </w:r>
          </w:p>
        </w:tc>
        <w:tc>
          <w:tcPr>
            <w:tcW w:w="1012" w:type="dxa"/>
            <w:noWrap/>
            <w:vAlign w:val="center"/>
          </w:tcPr>
          <w:p w14:paraId="1D61BBF9" w14:textId="2A3837AA"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2,9</w:t>
            </w:r>
          </w:p>
        </w:tc>
        <w:tc>
          <w:tcPr>
            <w:tcW w:w="1013" w:type="dxa"/>
            <w:noWrap/>
            <w:vAlign w:val="center"/>
          </w:tcPr>
          <w:p w14:paraId="49750F1B" w14:textId="53A248FC"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2,8</w:t>
            </w:r>
          </w:p>
        </w:tc>
        <w:tc>
          <w:tcPr>
            <w:tcW w:w="1013" w:type="dxa"/>
            <w:noWrap/>
            <w:vAlign w:val="center"/>
          </w:tcPr>
          <w:p w14:paraId="2AD15BDF" w14:textId="311FFB7C"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2,7</w:t>
            </w:r>
          </w:p>
        </w:tc>
      </w:tr>
      <w:tr w:rsidR="00616C25" w:rsidRPr="00671E0C" w14:paraId="741F75F3" w14:textId="77777777" w:rsidTr="005C1EE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6A537E82" w14:textId="77777777" w:rsidR="00616C25" w:rsidRPr="00671E0C" w:rsidRDefault="00616C25" w:rsidP="00616C25">
            <w:pPr>
              <w:pStyle w:val="Tabelid"/>
              <w:keepNext/>
            </w:pPr>
            <w:r w:rsidRPr="00671E0C">
              <w:rPr>
                <w:color w:val="000000"/>
              </w:rPr>
              <w:t>2. Euroala pika</w:t>
            </w:r>
            <w:r w:rsidRPr="00671E0C">
              <w:rPr>
                <w:color w:val="000000"/>
              </w:rPr>
              <w:softHyphen/>
              <w:t>ajaline intressi</w:t>
            </w:r>
            <w:r w:rsidRPr="00671E0C">
              <w:rPr>
                <w:color w:val="000000"/>
              </w:rPr>
              <w:softHyphen/>
              <w:t>määr (aasta keskm)</w:t>
            </w:r>
          </w:p>
        </w:tc>
        <w:tc>
          <w:tcPr>
            <w:tcW w:w="1012" w:type="dxa"/>
            <w:vAlign w:val="center"/>
          </w:tcPr>
          <w:p w14:paraId="20291F90" w14:textId="2FB4BA84"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rPr>
                <w:color w:val="000000"/>
              </w:rPr>
              <w:t>0,8</w:t>
            </w:r>
          </w:p>
        </w:tc>
        <w:tc>
          <w:tcPr>
            <w:tcW w:w="1013" w:type="dxa"/>
            <w:noWrap/>
            <w:vAlign w:val="center"/>
          </w:tcPr>
          <w:p w14:paraId="64ACA516" w14:textId="0F9E8A13"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1,1</w:t>
            </w:r>
          </w:p>
        </w:tc>
        <w:tc>
          <w:tcPr>
            <w:tcW w:w="1012" w:type="dxa"/>
            <w:noWrap/>
            <w:vAlign w:val="center"/>
          </w:tcPr>
          <w:p w14:paraId="4E462BA9" w14:textId="07A5A5B8"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2,6</w:t>
            </w:r>
          </w:p>
        </w:tc>
        <w:tc>
          <w:tcPr>
            <w:tcW w:w="1013" w:type="dxa"/>
            <w:noWrap/>
            <w:vAlign w:val="center"/>
          </w:tcPr>
          <w:p w14:paraId="7505D718" w14:textId="5A9F0F38"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3,0</w:t>
            </w:r>
          </w:p>
        </w:tc>
        <w:tc>
          <w:tcPr>
            <w:tcW w:w="1012" w:type="dxa"/>
            <w:noWrap/>
            <w:vAlign w:val="center"/>
          </w:tcPr>
          <w:p w14:paraId="7C19B8B7" w14:textId="5ED2AB4C"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3,2</w:t>
            </w:r>
          </w:p>
        </w:tc>
        <w:tc>
          <w:tcPr>
            <w:tcW w:w="1013" w:type="dxa"/>
            <w:noWrap/>
            <w:vAlign w:val="center"/>
          </w:tcPr>
          <w:p w14:paraId="01D02E35" w14:textId="1E39A716"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3,2</w:t>
            </w:r>
          </w:p>
        </w:tc>
        <w:tc>
          <w:tcPr>
            <w:tcW w:w="1013" w:type="dxa"/>
            <w:noWrap/>
            <w:vAlign w:val="center"/>
          </w:tcPr>
          <w:p w14:paraId="2A89661F" w14:textId="38905EA4"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3,2</w:t>
            </w:r>
          </w:p>
        </w:tc>
      </w:tr>
      <w:tr w:rsidR="00616C25" w:rsidRPr="00671E0C" w14:paraId="7D807276" w14:textId="77777777" w:rsidTr="005C1EE6">
        <w:trPr>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75FCCF14" w14:textId="77777777" w:rsidR="00616C25" w:rsidRPr="00671E0C" w:rsidRDefault="00616C25" w:rsidP="00616C25">
            <w:pPr>
              <w:pStyle w:val="Tabelid"/>
              <w:keepNext/>
            </w:pPr>
            <w:r w:rsidRPr="00671E0C">
              <w:rPr>
                <w:color w:val="000000"/>
              </w:rPr>
              <w:t>3. EUR/USD vahetus</w:t>
            </w:r>
            <w:r w:rsidRPr="00671E0C">
              <w:rPr>
                <w:color w:val="000000"/>
              </w:rPr>
              <w:softHyphen/>
              <w:t>kurss (aasta keskm)</w:t>
            </w:r>
          </w:p>
        </w:tc>
        <w:tc>
          <w:tcPr>
            <w:tcW w:w="1012" w:type="dxa"/>
            <w:vAlign w:val="center"/>
          </w:tcPr>
          <w:p w14:paraId="7EA1305E" w14:textId="7E1D6718"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671E0C">
              <w:rPr>
                <w:color w:val="000000"/>
              </w:rPr>
              <w:t>1,211</w:t>
            </w:r>
          </w:p>
        </w:tc>
        <w:tc>
          <w:tcPr>
            <w:tcW w:w="1013" w:type="dxa"/>
            <w:noWrap/>
            <w:vAlign w:val="center"/>
          </w:tcPr>
          <w:p w14:paraId="08C97AF7" w14:textId="24531C30"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1,050</w:t>
            </w:r>
          </w:p>
        </w:tc>
        <w:tc>
          <w:tcPr>
            <w:tcW w:w="1012" w:type="dxa"/>
            <w:noWrap/>
            <w:vAlign w:val="center"/>
          </w:tcPr>
          <w:p w14:paraId="347F101A" w14:textId="2ADB2AEC"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1,091</w:t>
            </w:r>
          </w:p>
        </w:tc>
        <w:tc>
          <w:tcPr>
            <w:tcW w:w="1013" w:type="dxa"/>
            <w:noWrap/>
            <w:vAlign w:val="center"/>
          </w:tcPr>
          <w:p w14:paraId="09997C08" w14:textId="6B462C56"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1,099</w:t>
            </w:r>
          </w:p>
        </w:tc>
        <w:tc>
          <w:tcPr>
            <w:tcW w:w="1012" w:type="dxa"/>
            <w:noWrap/>
            <w:vAlign w:val="center"/>
          </w:tcPr>
          <w:p w14:paraId="6037F66D" w14:textId="22C4241A"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1,099</w:t>
            </w:r>
          </w:p>
        </w:tc>
        <w:tc>
          <w:tcPr>
            <w:tcW w:w="1013" w:type="dxa"/>
            <w:noWrap/>
            <w:vAlign w:val="center"/>
          </w:tcPr>
          <w:p w14:paraId="5DF5A44A" w14:textId="5F1097BF"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1,099</w:t>
            </w:r>
          </w:p>
        </w:tc>
        <w:tc>
          <w:tcPr>
            <w:tcW w:w="1013" w:type="dxa"/>
            <w:noWrap/>
            <w:vAlign w:val="center"/>
          </w:tcPr>
          <w:p w14:paraId="33AC8BEB" w14:textId="31699B08"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1,099</w:t>
            </w:r>
          </w:p>
        </w:tc>
      </w:tr>
      <w:tr w:rsidR="00616C25" w:rsidRPr="00671E0C" w14:paraId="3B38F923" w14:textId="77777777" w:rsidTr="005C1EE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43B40CA2" w14:textId="77777777" w:rsidR="00616C25" w:rsidRPr="00671E0C" w:rsidRDefault="00616C25" w:rsidP="00616C25">
            <w:pPr>
              <w:pStyle w:val="Tabelid"/>
              <w:keepNext/>
            </w:pPr>
            <w:r w:rsidRPr="00671E0C">
              <w:rPr>
                <w:color w:val="000000"/>
              </w:rPr>
              <w:t>4. Euroala harmo</w:t>
            </w:r>
            <w:r w:rsidRPr="00671E0C">
              <w:rPr>
                <w:color w:val="000000"/>
              </w:rPr>
              <w:softHyphen/>
              <w:t>neeritud THI</w:t>
            </w:r>
          </w:p>
        </w:tc>
        <w:tc>
          <w:tcPr>
            <w:tcW w:w="1012" w:type="dxa"/>
            <w:vAlign w:val="center"/>
          </w:tcPr>
          <w:p w14:paraId="6D556EC0" w14:textId="22A859DD"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rPr>
                <w:color w:val="000000"/>
              </w:rPr>
              <w:t>1,2</w:t>
            </w:r>
          </w:p>
        </w:tc>
        <w:tc>
          <w:tcPr>
            <w:tcW w:w="1013" w:type="dxa"/>
            <w:noWrap/>
            <w:vAlign w:val="center"/>
          </w:tcPr>
          <w:p w14:paraId="0186BC08" w14:textId="6B8E1544"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8,4</w:t>
            </w:r>
          </w:p>
        </w:tc>
        <w:tc>
          <w:tcPr>
            <w:tcW w:w="1012" w:type="dxa"/>
            <w:noWrap/>
            <w:vAlign w:val="center"/>
          </w:tcPr>
          <w:p w14:paraId="28E8312F" w14:textId="6486DD26"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5,5</w:t>
            </w:r>
          </w:p>
        </w:tc>
        <w:tc>
          <w:tcPr>
            <w:tcW w:w="1013" w:type="dxa"/>
            <w:noWrap/>
            <w:vAlign w:val="center"/>
          </w:tcPr>
          <w:p w14:paraId="6EB3AD57" w14:textId="188FB611"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3,0</w:t>
            </w:r>
          </w:p>
        </w:tc>
        <w:tc>
          <w:tcPr>
            <w:tcW w:w="1012" w:type="dxa"/>
            <w:noWrap/>
            <w:vAlign w:val="center"/>
          </w:tcPr>
          <w:p w14:paraId="7E0DE311" w14:textId="604EB50D"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2,2</w:t>
            </w:r>
          </w:p>
        </w:tc>
        <w:tc>
          <w:tcPr>
            <w:tcW w:w="1013" w:type="dxa"/>
            <w:noWrap/>
            <w:vAlign w:val="center"/>
          </w:tcPr>
          <w:p w14:paraId="75CD0087" w14:textId="6AB84B1F"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2,0</w:t>
            </w:r>
          </w:p>
        </w:tc>
        <w:tc>
          <w:tcPr>
            <w:tcW w:w="1013" w:type="dxa"/>
            <w:noWrap/>
            <w:vAlign w:val="center"/>
          </w:tcPr>
          <w:p w14:paraId="549A36E6" w14:textId="5D9620B8"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1,9</w:t>
            </w:r>
          </w:p>
        </w:tc>
      </w:tr>
      <w:tr w:rsidR="00616C25" w:rsidRPr="00671E0C" w14:paraId="7F908C9B" w14:textId="77777777" w:rsidTr="005C1EE6">
        <w:trPr>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13BA768E" w14:textId="77777777" w:rsidR="00616C25" w:rsidRPr="00671E0C" w:rsidRDefault="00616C25" w:rsidP="00616C25">
            <w:pPr>
              <w:pStyle w:val="Tabelid"/>
              <w:keepNext/>
            </w:pPr>
            <w:r w:rsidRPr="00671E0C">
              <w:rPr>
                <w:color w:val="000000"/>
              </w:rPr>
              <w:t>5. Nafta hind (Brent, USD/barrel)</w:t>
            </w:r>
          </w:p>
        </w:tc>
        <w:tc>
          <w:tcPr>
            <w:tcW w:w="1012" w:type="dxa"/>
            <w:vAlign w:val="center"/>
          </w:tcPr>
          <w:p w14:paraId="7362D9F5" w14:textId="562F7CF1"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671E0C">
              <w:rPr>
                <w:color w:val="000000"/>
              </w:rPr>
              <w:t>75,8</w:t>
            </w:r>
          </w:p>
        </w:tc>
        <w:tc>
          <w:tcPr>
            <w:tcW w:w="1013" w:type="dxa"/>
            <w:noWrap/>
            <w:vAlign w:val="center"/>
          </w:tcPr>
          <w:p w14:paraId="32508AEF" w14:textId="2E1790CD"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100,7</w:t>
            </w:r>
          </w:p>
        </w:tc>
        <w:tc>
          <w:tcPr>
            <w:tcW w:w="1012" w:type="dxa"/>
            <w:noWrap/>
            <w:vAlign w:val="center"/>
          </w:tcPr>
          <w:p w14:paraId="56EEC146" w14:textId="760D1861"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82,1</w:t>
            </w:r>
          </w:p>
        </w:tc>
        <w:tc>
          <w:tcPr>
            <w:tcW w:w="1013" w:type="dxa"/>
            <w:noWrap/>
            <w:vAlign w:val="center"/>
          </w:tcPr>
          <w:p w14:paraId="20797B17" w14:textId="4D603EA1"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82,0</w:t>
            </w:r>
          </w:p>
        </w:tc>
        <w:tc>
          <w:tcPr>
            <w:tcW w:w="1012" w:type="dxa"/>
            <w:noWrap/>
            <w:vAlign w:val="center"/>
          </w:tcPr>
          <w:p w14:paraId="6F73E0F8" w14:textId="037F7943"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77,8</w:t>
            </w:r>
          </w:p>
        </w:tc>
        <w:tc>
          <w:tcPr>
            <w:tcW w:w="1013" w:type="dxa"/>
            <w:noWrap/>
            <w:vAlign w:val="center"/>
          </w:tcPr>
          <w:p w14:paraId="4B8A6C19" w14:textId="75DF10D8"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74,5</w:t>
            </w:r>
          </w:p>
        </w:tc>
        <w:tc>
          <w:tcPr>
            <w:tcW w:w="1013" w:type="dxa"/>
            <w:noWrap/>
            <w:vAlign w:val="center"/>
          </w:tcPr>
          <w:p w14:paraId="1861EB67" w14:textId="61B46C5D"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71,7</w:t>
            </w:r>
          </w:p>
        </w:tc>
      </w:tr>
      <w:tr w:rsidR="00616C25" w:rsidRPr="00671E0C" w14:paraId="0382084B" w14:textId="77777777" w:rsidTr="005C1EE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676F0D5E" w14:textId="77777777" w:rsidR="00616C25" w:rsidRPr="00671E0C" w:rsidRDefault="00616C25" w:rsidP="00616C25">
            <w:pPr>
              <w:pStyle w:val="Tabelid"/>
              <w:keepNext/>
            </w:pPr>
            <w:r w:rsidRPr="00671E0C">
              <w:rPr>
                <w:color w:val="000000"/>
              </w:rPr>
              <w:t>6. Nafta hind (Brent, EUR/barrel)</w:t>
            </w:r>
          </w:p>
        </w:tc>
        <w:tc>
          <w:tcPr>
            <w:tcW w:w="1012" w:type="dxa"/>
            <w:vAlign w:val="center"/>
          </w:tcPr>
          <w:p w14:paraId="2A60C11E" w14:textId="1A86E898"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671E0C">
              <w:rPr>
                <w:color w:val="000000"/>
              </w:rPr>
              <w:t>61,2</w:t>
            </w:r>
          </w:p>
        </w:tc>
        <w:tc>
          <w:tcPr>
            <w:tcW w:w="1013" w:type="dxa"/>
            <w:noWrap/>
            <w:vAlign w:val="center"/>
          </w:tcPr>
          <w:p w14:paraId="5CDD59F0" w14:textId="705C0BC8"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95,9</w:t>
            </w:r>
          </w:p>
        </w:tc>
        <w:tc>
          <w:tcPr>
            <w:tcW w:w="1012" w:type="dxa"/>
            <w:noWrap/>
            <w:vAlign w:val="center"/>
          </w:tcPr>
          <w:p w14:paraId="32D03550" w14:textId="37D31493"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75,3</w:t>
            </w:r>
          </w:p>
        </w:tc>
        <w:tc>
          <w:tcPr>
            <w:tcW w:w="1013" w:type="dxa"/>
            <w:noWrap/>
            <w:vAlign w:val="center"/>
          </w:tcPr>
          <w:p w14:paraId="789A11D4" w14:textId="39BDB7AC"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74,6</w:t>
            </w:r>
          </w:p>
        </w:tc>
        <w:tc>
          <w:tcPr>
            <w:tcW w:w="1012" w:type="dxa"/>
            <w:noWrap/>
            <w:vAlign w:val="center"/>
          </w:tcPr>
          <w:p w14:paraId="49AAF511" w14:textId="21280564"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70,8</w:t>
            </w:r>
          </w:p>
        </w:tc>
        <w:tc>
          <w:tcPr>
            <w:tcW w:w="1013" w:type="dxa"/>
            <w:noWrap/>
            <w:vAlign w:val="center"/>
          </w:tcPr>
          <w:p w14:paraId="3E885B2D" w14:textId="5FB5CBFB"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67,8</w:t>
            </w:r>
          </w:p>
        </w:tc>
        <w:tc>
          <w:tcPr>
            <w:tcW w:w="1013" w:type="dxa"/>
            <w:noWrap/>
            <w:vAlign w:val="center"/>
          </w:tcPr>
          <w:p w14:paraId="101EAA90" w14:textId="4CF8A6B8" w:rsidR="00616C25" w:rsidRPr="00671E0C"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Pr>
                <w:color w:val="000000"/>
              </w:rPr>
              <w:t>65,2</w:t>
            </w:r>
          </w:p>
        </w:tc>
      </w:tr>
      <w:tr w:rsidR="00616C25" w:rsidRPr="00671E0C" w14:paraId="0A6F12CE" w14:textId="77777777" w:rsidTr="005C1EE6">
        <w:trPr>
          <w:trHeight w:val="266"/>
        </w:trPr>
        <w:tc>
          <w:tcPr>
            <w:cnfStyle w:val="001000000000" w:firstRow="0" w:lastRow="0" w:firstColumn="1" w:lastColumn="0" w:oddVBand="0" w:evenVBand="0" w:oddHBand="0" w:evenHBand="0" w:firstRowFirstColumn="0" w:firstRowLastColumn="0" w:lastRowFirstColumn="0" w:lastRowLastColumn="0"/>
            <w:tcW w:w="2905" w:type="dxa"/>
            <w:noWrap/>
          </w:tcPr>
          <w:p w14:paraId="2E84DEA4" w14:textId="77777777" w:rsidR="00616C25" w:rsidRPr="00671E0C" w:rsidRDefault="00616C25" w:rsidP="00616C25">
            <w:pPr>
              <w:pStyle w:val="Tabelid"/>
              <w:keepNext/>
              <w:rPr>
                <w:color w:val="000000"/>
              </w:rPr>
            </w:pPr>
            <w:r w:rsidRPr="00671E0C">
              <w:rPr>
                <w:color w:val="000000"/>
              </w:rPr>
              <w:t>7. Gaasi hind (TTF, EUR/MWh)</w:t>
            </w:r>
          </w:p>
        </w:tc>
        <w:tc>
          <w:tcPr>
            <w:tcW w:w="1012" w:type="dxa"/>
            <w:vAlign w:val="center"/>
          </w:tcPr>
          <w:p w14:paraId="3A5E18AA" w14:textId="735F57FF"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671E0C">
              <w:rPr>
                <w:color w:val="000000"/>
              </w:rPr>
              <w:t> </w:t>
            </w:r>
          </w:p>
        </w:tc>
        <w:tc>
          <w:tcPr>
            <w:tcW w:w="1013" w:type="dxa"/>
            <w:noWrap/>
            <w:vAlign w:val="center"/>
          </w:tcPr>
          <w:p w14:paraId="46E4F87D" w14:textId="5710A171"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132,8</w:t>
            </w:r>
          </w:p>
        </w:tc>
        <w:tc>
          <w:tcPr>
            <w:tcW w:w="1012" w:type="dxa"/>
            <w:noWrap/>
            <w:vAlign w:val="center"/>
          </w:tcPr>
          <w:p w14:paraId="591DBF3B" w14:textId="2200D47C"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43,3</w:t>
            </w:r>
          </w:p>
        </w:tc>
        <w:tc>
          <w:tcPr>
            <w:tcW w:w="1013" w:type="dxa"/>
            <w:noWrap/>
            <w:vAlign w:val="center"/>
          </w:tcPr>
          <w:p w14:paraId="653E22E2" w14:textId="19E1CE1B"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50,6</w:t>
            </w:r>
          </w:p>
        </w:tc>
        <w:tc>
          <w:tcPr>
            <w:tcW w:w="1012" w:type="dxa"/>
            <w:noWrap/>
            <w:vAlign w:val="center"/>
          </w:tcPr>
          <w:p w14:paraId="1BCD19E3" w14:textId="294BFC23"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43,3</w:t>
            </w:r>
          </w:p>
        </w:tc>
        <w:tc>
          <w:tcPr>
            <w:tcW w:w="1013" w:type="dxa"/>
            <w:noWrap/>
            <w:vAlign w:val="center"/>
          </w:tcPr>
          <w:p w14:paraId="2666CE84" w14:textId="275ECB43"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34,3</w:t>
            </w:r>
          </w:p>
        </w:tc>
        <w:tc>
          <w:tcPr>
            <w:tcW w:w="1013" w:type="dxa"/>
            <w:noWrap/>
            <w:vAlign w:val="center"/>
          </w:tcPr>
          <w:p w14:paraId="510D6882" w14:textId="3204B355" w:rsidR="00616C25" w:rsidRPr="00671E0C"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Pr>
                <w:color w:val="000000"/>
              </w:rPr>
              <w:t>28,3</w:t>
            </w:r>
          </w:p>
        </w:tc>
      </w:tr>
      <w:tr w:rsidR="00616C25" w:rsidRPr="008478E8" w14:paraId="647C30D8" w14:textId="77777777" w:rsidTr="005C1EE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62311890" w14:textId="77777777" w:rsidR="00616C25" w:rsidRPr="008478E8" w:rsidRDefault="00616C25" w:rsidP="00616C25">
            <w:pPr>
              <w:pStyle w:val="Tabelid"/>
              <w:keepNext/>
            </w:pPr>
            <w:r w:rsidRPr="008478E8">
              <w:rPr>
                <w:color w:val="000000"/>
              </w:rPr>
              <w:t>8. Euroala SKP kasv</w:t>
            </w:r>
          </w:p>
        </w:tc>
        <w:tc>
          <w:tcPr>
            <w:tcW w:w="1012" w:type="dxa"/>
            <w:vAlign w:val="center"/>
          </w:tcPr>
          <w:p w14:paraId="10884134" w14:textId="1C4969BA" w:rsidR="00616C25" w:rsidRPr="008478E8"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8478E8">
              <w:rPr>
                <w:color w:val="000000"/>
              </w:rPr>
              <w:t>0,6</w:t>
            </w:r>
          </w:p>
        </w:tc>
        <w:tc>
          <w:tcPr>
            <w:tcW w:w="1013" w:type="dxa"/>
            <w:noWrap/>
            <w:vAlign w:val="center"/>
          </w:tcPr>
          <w:p w14:paraId="563A2927" w14:textId="0A27F22D" w:rsidR="00616C25" w:rsidRPr="008478E8"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8478E8">
              <w:rPr>
                <w:color w:val="000000"/>
              </w:rPr>
              <w:t>3,5</w:t>
            </w:r>
          </w:p>
        </w:tc>
        <w:tc>
          <w:tcPr>
            <w:tcW w:w="1012" w:type="dxa"/>
            <w:noWrap/>
            <w:vAlign w:val="center"/>
          </w:tcPr>
          <w:p w14:paraId="10499F07" w14:textId="583A88A2" w:rsidR="00616C25" w:rsidRPr="008478E8"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8478E8">
              <w:rPr>
                <w:color w:val="000000"/>
              </w:rPr>
              <w:t>0,7</w:t>
            </w:r>
          </w:p>
        </w:tc>
        <w:tc>
          <w:tcPr>
            <w:tcW w:w="1013" w:type="dxa"/>
            <w:noWrap/>
            <w:vAlign w:val="center"/>
          </w:tcPr>
          <w:p w14:paraId="73668B8F" w14:textId="72E8501F" w:rsidR="00616C25" w:rsidRPr="008478E8"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8478E8">
              <w:rPr>
                <w:color w:val="000000"/>
              </w:rPr>
              <w:t>1,2</w:t>
            </w:r>
          </w:p>
        </w:tc>
        <w:tc>
          <w:tcPr>
            <w:tcW w:w="1012" w:type="dxa"/>
            <w:noWrap/>
            <w:vAlign w:val="center"/>
          </w:tcPr>
          <w:p w14:paraId="4004D9BF" w14:textId="76211A27" w:rsidR="00616C25" w:rsidRPr="008478E8"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8478E8">
              <w:rPr>
                <w:color w:val="000000"/>
              </w:rPr>
              <w:t>1,8</w:t>
            </w:r>
          </w:p>
        </w:tc>
        <w:tc>
          <w:tcPr>
            <w:tcW w:w="1013" w:type="dxa"/>
            <w:noWrap/>
            <w:vAlign w:val="center"/>
          </w:tcPr>
          <w:p w14:paraId="15224457" w14:textId="52559A4A" w:rsidR="00616C25" w:rsidRPr="008478E8"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8478E8">
              <w:rPr>
                <w:color w:val="000000"/>
              </w:rPr>
              <w:t>1,7</w:t>
            </w:r>
          </w:p>
        </w:tc>
        <w:tc>
          <w:tcPr>
            <w:tcW w:w="1013" w:type="dxa"/>
            <w:noWrap/>
            <w:vAlign w:val="center"/>
          </w:tcPr>
          <w:p w14:paraId="5EA469D0" w14:textId="41FA7B7F" w:rsidR="00616C25" w:rsidRPr="008478E8" w:rsidRDefault="00616C25" w:rsidP="00616C25">
            <w:pPr>
              <w:pStyle w:val="Tabelid"/>
              <w:keepNext/>
              <w:jc w:val="center"/>
              <w:cnfStyle w:val="000000100000" w:firstRow="0" w:lastRow="0" w:firstColumn="0" w:lastColumn="0" w:oddVBand="0" w:evenVBand="0" w:oddHBand="1" w:evenHBand="0" w:firstRowFirstColumn="0" w:firstRowLastColumn="0" w:lastRowFirstColumn="0" w:lastRowLastColumn="0"/>
            </w:pPr>
            <w:r w:rsidRPr="008478E8">
              <w:rPr>
                <w:color w:val="000000"/>
              </w:rPr>
              <w:t>1,5</w:t>
            </w:r>
          </w:p>
        </w:tc>
      </w:tr>
      <w:tr w:rsidR="00616C25" w:rsidRPr="008478E8" w14:paraId="4DC04FAD" w14:textId="77777777" w:rsidTr="005C1EE6">
        <w:trPr>
          <w:trHeight w:val="266"/>
        </w:trPr>
        <w:tc>
          <w:tcPr>
            <w:cnfStyle w:val="001000000000" w:firstRow="0" w:lastRow="0" w:firstColumn="1" w:lastColumn="0" w:oddVBand="0" w:evenVBand="0" w:oddHBand="0" w:evenHBand="0" w:firstRowFirstColumn="0" w:firstRowLastColumn="0" w:lastRowFirstColumn="0" w:lastRowLastColumn="0"/>
            <w:tcW w:w="2905" w:type="dxa"/>
            <w:noWrap/>
            <w:hideMark/>
          </w:tcPr>
          <w:p w14:paraId="0B6AB7F9" w14:textId="77777777" w:rsidR="00616C25" w:rsidRPr="008478E8" w:rsidRDefault="00616C25" w:rsidP="00616C25">
            <w:pPr>
              <w:pStyle w:val="Tabelid"/>
              <w:keepNext/>
            </w:pPr>
            <w:r w:rsidRPr="008478E8">
              <w:rPr>
                <w:color w:val="000000"/>
              </w:rPr>
              <w:t>9. Ekspordituru impordi kasv</w:t>
            </w:r>
          </w:p>
        </w:tc>
        <w:tc>
          <w:tcPr>
            <w:tcW w:w="1012" w:type="dxa"/>
            <w:vAlign w:val="center"/>
          </w:tcPr>
          <w:p w14:paraId="18207558" w14:textId="6BAFB0B3" w:rsidR="00616C25" w:rsidRPr="008478E8"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8478E8">
              <w:rPr>
                <w:color w:val="000000"/>
              </w:rPr>
              <w:t>2,6</w:t>
            </w:r>
          </w:p>
        </w:tc>
        <w:tc>
          <w:tcPr>
            <w:tcW w:w="1013" w:type="dxa"/>
            <w:noWrap/>
            <w:vAlign w:val="center"/>
          </w:tcPr>
          <w:p w14:paraId="3042790D" w14:textId="2E6D721A" w:rsidR="00616C25" w:rsidRPr="008478E8"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8478E8">
              <w:rPr>
                <w:color w:val="000000"/>
              </w:rPr>
              <w:t>6,9</w:t>
            </w:r>
          </w:p>
        </w:tc>
        <w:tc>
          <w:tcPr>
            <w:tcW w:w="1012" w:type="dxa"/>
            <w:noWrap/>
            <w:vAlign w:val="center"/>
          </w:tcPr>
          <w:p w14:paraId="012AB787" w14:textId="375B5856" w:rsidR="00616C25" w:rsidRPr="008478E8"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8478E8">
              <w:rPr>
                <w:color w:val="000000"/>
              </w:rPr>
              <w:t>-0,6</w:t>
            </w:r>
          </w:p>
        </w:tc>
        <w:tc>
          <w:tcPr>
            <w:tcW w:w="1013" w:type="dxa"/>
            <w:noWrap/>
            <w:vAlign w:val="center"/>
          </w:tcPr>
          <w:p w14:paraId="5ECF5450" w14:textId="530E04F9" w:rsidR="00616C25" w:rsidRPr="008478E8"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8478E8">
              <w:rPr>
                <w:color w:val="000000"/>
              </w:rPr>
              <w:t>2,2</w:t>
            </w:r>
          </w:p>
        </w:tc>
        <w:tc>
          <w:tcPr>
            <w:tcW w:w="1012" w:type="dxa"/>
            <w:noWrap/>
            <w:vAlign w:val="center"/>
          </w:tcPr>
          <w:p w14:paraId="52E26996" w14:textId="7C797923" w:rsidR="00616C25" w:rsidRPr="008478E8"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8478E8">
              <w:rPr>
                <w:color w:val="000000"/>
              </w:rPr>
              <w:t>3,2</w:t>
            </w:r>
          </w:p>
        </w:tc>
        <w:tc>
          <w:tcPr>
            <w:tcW w:w="1013" w:type="dxa"/>
            <w:noWrap/>
            <w:vAlign w:val="center"/>
          </w:tcPr>
          <w:p w14:paraId="52F993B5" w14:textId="549768B0" w:rsidR="00616C25" w:rsidRPr="008478E8"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8478E8">
              <w:rPr>
                <w:color w:val="000000"/>
              </w:rPr>
              <w:t>2,9</w:t>
            </w:r>
          </w:p>
        </w:tc>
        <w:tc>
          <w:tcPr>
            <w:tcW w:w="1013" w:type="dxa"/>
            <w:noWrap/>
            <w:vAlign w:val="center"/>
          </w:tcPr>
          <w:p w14:paraId="4BA45607" w14:textId="18DEBA8F" w:rsidR="00616C25" w:rsidRPr="008478E8" w:rsidRDefault="00616C25" w:rsidP="00616C25">
            <w:pPr>
              <w:pStyle w:val="Tabelid"/>
              <w:keepNext/>
              <w:jc w:val="center"/>
              <w:cnfStyle w:val="000000000000" w:firstRow="0" w:lastRow="0" w:firstColumn="0" w:lastColumn="0" w:oddVBand="0" w:evenVBand="0" w:oddHBand="0" w:evenHBand="0" w:firstRowFirstColumn="0" w:firstRowLastColumn="0" w:lastRowFirstColumn="0" w:lastRowLastColumn="0"/>
            </w:pPr>
            <w:r w:rsidRPr="008478E8">
              <w:rPr>
                <w:color w:val="000000"/>
              </w:rPr>
              <w:t>2,9</w:t>
            </w:r>
          </w:p>
        </w:tc>
      </w:tr>
    </w:tbl>
    <w:p w14:paraId="61D449A2" w14:textId="210EA7E1" w:rsidR="00CA5A7E" w:rsidRPr="00616C25" w:rsidRDefault="00CA5A7E" w:rsidP="00CA5A7E">
      <w:pPr>
        <w:pStyle w:val="Mrkus"/>
        <w:jc w:val="both"/>
      </w:pPr>
      <w:r w:rsidRPr="008478E8">
        <w:t xml:space="preserve">Allikad: </w:t>
      </w:r>
      <w:proofErr w:type="spellStart"/>
      <w:r w:rsidRPr="008478E8">
        <w:t>Eurostat</w:t>
      </w:r>
      <w:proofErr w:type="spellEnd"/>
      <w:r w:rsidRPr="008478E8">
        <w:t xml:space="preserve">, Eesti Pank, Euroopa Keskpank (ECB), IMF, U.S. Energy </w:t>
      </w:r>
      <w:proofErr w:type="spellStart"/>
      <w:r w:rsidRPr="008478E8">
        <w:t>Information</w:t>
      </w:r>
      <w:proofErr w:type="spellEnd"/>
      <w:r w:rsidRPr="008478E8">
        <w:t xml:space="preserve"> </w:t>
      </w:r>
      <w:proofErr w:type="spellStart"/>
      <w:r w:rsidRPr="008478E8">
        <w:t>Administration</w:t>
      </w:r>
      <w:proofErr w:type="spellEnd"/>
      <w:r w:rsidRPr="008478E8">
        <w:t xml:space="preserve"> (EIA); </w:t>
      </w:r>
      <w:proofErr w:type="spellStart"/>
      <w:r w:rsidRPr="008478E8">
        <w:rPr>
          <w:rStyle w:val="Strong"/>
          <w:rFonts w:cstheme="minorBidi"/>
          <w:b w:val="0"/>
          <w:bCs w:val="0"/>
        </w:rPr>
        <w:t>Consensus</w:t>
      </w:r>
      <w:proofErr w:type="spellEnd"/>
      <w:r w:rsidRPr="008478E8">
        <w:rPr>
          <w:rStyle w:val="Strong"/>
          <w:rFonts w:cstheme="minorBidi"/>
          <w:b w:val="0"/>
          <w:bCs w:val="0"/>
        </w:rPr>
        <w:t xml:space="preserve"> </w:t>
      </w:r>
      <w:proofErr w:type="spellStart"/>
      <w:r w:rsidRPr="008478E8">
        <w:rPr>
          <w:rStyle w:val="Strong"/>
          <w:rFonts w:cstheme="minorBidi"/>
          <w:b w:val="0"/>
          <w:bCs w:val="0"/>
        </w:rPr>
        <w:t>Economics</w:t>
      </w:r>
      <w:proofErr w:type="spellEnd"/>
      <w:r w:rsidRPr="008478E8">
        <w:t xml:space="preserve"> (CF), Euroopa Komisjon (COM)</w:t>
      </w:r>
      <w:r w:rsidR="00D94AA6" w:rsidRPr="008478E8">
        <w:t xml:space="preserve">, </w:t>
      </w:r>
      <w:proofErr w:type="spellStart"/>
      <w:r w:rsidR="00D94AA6" w:rsidRPr="008478E8">
        <w:t>Chatham</w:t>
      </w:r>
      <w:proofErr w:type="spellEnd"/>
      <w:r w:rsidR="00D94AA6" w:rsidRPr="008478E8">
        <w:t xml:space="preserve"> </w:t>
      </w:r>
      <w:proofErr w:type="spellStart"/>
      <w:r w:rsidR="00D94AA6" w:rsidRPr="008478E8">
        <w:t>Financial</w:t>
      </w:r>
      <w:proofErr w:type="spellEnd"/>
      <w:r w:rsidR="00D94AA6" w:rsidRPr="008478E8">
        <w:t xml:space="preserve">, </w:t>
      </w:r>
      <w:proofErr w:type="spellStart"/>
      <w:r w:rsidR="00D94AA6" w:rsidRPr="008478E8">
        <w:t>Bloomberg</w:t>
      </w:r>
      <w:proofErr w:type="spellEnd"/>
      <w:r w:rsidRPr="008478E8">
        <w:t xml:space="preserve"> ja NYMEX Brent futuurid.</w:t>
      </w:r>
    </w:p>
    <w:bookmarkEnd w:id="247"/>
    <w:p w14:paraId="1BDE062B" w14:textId="77777777" w:rsidR="00CA5A7E" w:rsidRPr="00414819" w:rsidRDefault="00CA5A7E" w:rsidP="00E66452">
      <w:pPr>
        <w:rPr>
          <w:highlight w:val="yellow"/>
        </w:rPr>
      </w:pPr>
    </w:p>
    <w:p w14:paraId="4BED0594" w14:textId="0A5185C3" w:rsidR="005C246A" w:rsidRPr="00414819" w:rsidRDefault="005C246A">
      <w:pPr>
        <w:rPr>
          <w:highlight w:val="yellow"/>
        </w:rPr>
      </w:pPr>
      <w:r w:rsidRPr="00414819">
        <w:rPr>
          <w:highlight w:val="yellow"/>
        </w:rPr>
        <w:br w:type="page"/>
      </w:r>
    </w:p>
    <w:p w14:paraId="17F80E8F" w14:textId="7502AE0D" w:rsidR="00831AD9" w:rsidRPr="001D6947" w:rsidRDefault="007B481D" w:rsidP="007B481D">
      <w:pPr>
        <w:pStyle w:val="Caption"/>
      </w:pPr>
      <w:bookmarkStart w:id="248" w:name="_Ref81862905"/>
      <w:bookmarkStart w:id="249" w:name="_Ref511394836"/>
      <w:bookmarkStart w:id="250" w:name="_Toc4502672"/>
      <w:bookmarkStart w:id="251" w:name="_Ref68128351"/>
      <w:bookmarkStart w:id="252" w:name="_Ref112076530"/>
      <w:bookmarkStart w:id="253" w:name="_Ref510624380"/>
      <w:bookmarkStart w:id="254" w:name="_Ref511639665"/>
      <w:bookmarkStart w:id="255" w:name="_Ref511639664"/>
      <w:bookmarkStart w:id="256" w:name="_Toc4502675"/>
      <w:bookmarkStart w:id="257" w:name="_Toc143775554"/>
      <w:bookmarkEnd w:id="227"/>
      <w:r w:rsidRPr="001D6947">
        <w:lastRenderedPageBreak/>
        <w:t xml:space="preserve">Tabel </w:t>
      </w:r>
      <w:r w:rsidR="004C0EAE">
        <w:fldChar w:fldCharType="begin"/>
      </w:r>
      <w:r w:rsidR="004C0EAE">
        <w:instrText xml:space="preserve"> SEQ Tabel \* ARABIC </w:instrText>
      </w:r>
      <w:r w:rsidR="004C0EAE">
        <w:fldChar w:fldCharType="separate"/>
      </w:r>
      <w:r w:rsidR="00D84B51">
        <w:rPr>
          <w:noProof/>
        </w:rPr>
        <w:t>13</w:t>
      </w:r>
      <w:r w:rsidR="004C0EAE">
        <w:rPr>
          <w:noProof/>
        </w:rPr>
        <w:fldChar w:fldCharType="end"/>
      </w:r>
      <w:bookmarkEnd w:id="248"/>
      <w:r w:rsidRPr="001D6947">
        <w:t xml:space="preserve">. </w:t>
      </w:r>
      <w:r w:rsidR="00831AD9" w:rsidRPr="001D6947">
        <w:t>Valitsussektori eelarve tulud</w:t>
      </w:r>
      <w:r w:rsidR="00924148" w:rsidRPr="001D6947">
        <w:t>e</w:t>
      </w:r>
      <w:r w:rsidR="00831AD9" w:rsidRPr="001D6947">
        <w:t xml:space="preserve"> ja kulud</w:t>
      </w:r>
      <w:r w:rsidR="00924148" w:rsidRPr="001D6947">
        <w:t>e prognoos</w:t>
      </w:r>
      <w:r w:rsidR="00831AD9" w:rsidRPr="001D6947">
        <w:t xml:space="preserve"> 20</w:t>
      </w:r>
      <w:r w:rsidR="00E748FA" w:rsidRPr="001D6947">
        <w:t>2</w:t>
      </w:r>
      <w:r w:rsidR="00924148" w:rsidRPr="001D6947">
        <w:t>3</w:t>
      </w:r>
      <w:r w:rsidR="00831AD9" w:rsidRPr="001D6947">
        <w:t>–202</w:t>
      </w:r>
      <w:bookmarkEnd w:id="249"/>
      <w:bookmarkEnd w:id="250"/>
      <w:bookmarkEnd w:id="251"/>
      <w:r w:rsidR="006117CC" w:rsidRPr="001D6947">
        <w:t>7</w:t>
      </w:r>
      <w:bookmarkEnd w:id="252"/>
      <w:bookmarkEnd w:id="257"/>
    </w:p>
    <w:tbl>
      <w:tblPr>
        <w:tblStyle w:val="TableSubtle1"/>
        <w:tblW w:w="10647" w:type="dxa"/>
        <w:tblLook w:val="04A0" w:firstRow="1" w:lastRow="0" w:firstColumn="1" w:lastColumn="0" w:noHBand="0" w:noVBand="1"/>
      </w:tblPr>
      <w:tblGrid>
        <w:gridCol w:w="3261"/>
        <w:gridCol w:w="1103"/>
        <w:gridCol w:w="800"/>
        <w:gridCol w:w="676"/>
        <w:gridCol w:w="738"/>
        <w:gridCol w:w="676"/>
        <w:gridCol w:w="676"/>
        <w:gridCol w:w="680"/>
        <w:gridCol w:w="681"/>
        <w:gridCol w:w="680"/>
        <w:gridCol w:w="676"/>
      </w:tblGrid>
      <w:tr w:rsidR="00FA7B41" w:rsidRPr="001D6947" w14:paraId="4374F78B" w14:textId="77777777" w:rsidTr="005942C0">
        <w:trPr>
          <w:cnfStyle w:val="100000000000" w:firstRow="1" w:lastRow="0" w:firstColumn="0" w:lastColumn="0" w:oddVBand="0" w:evenVBand="0" w:oddHBand="0"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22533900" w14:textId="77777777" w:rsidR="00FA7B41" w:rsidRPr="001D6947" w:rsidRDefault="00FA7B41" w:rsidP="00FA7B41">
            <w:pPr>
              <w:pStyle w:val="Tabelid"/>
            </w:pPr>
          </w:p>
        </w:tc>
        <w:tc>
          <w:tcPr>
            <w:tcW w:w="1103" w:type="dxa"/>
          </w:tcPr>
          <w:p w14:paraId="79E6C812" w14:textId="0C311E1E"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2022</w:t>
            </w:r>
          </w:p>
        </w:tc>
        <w:tc>
          <w:tcPr>
            <w:tcW w:w="800" w:type="dxa"/>
          </w:tcPr>
          <w:p w14:paraId="4E0E4493" w14:textId="69472B0E"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5B4D5F">
              <w:t>2011-</w:t>
            </w:r>
            <w:r w:rsidR="00924148" w:rsidRPr="005B4D5F">
              <w:t>19</w:t>
            </w:r>
          </w:p>
        </w:tc>
        <w:tc>
          <w:tcPr>
            <w:tcW w:w="676" w:type="dxa"/>
          </w:tcPr>
          <w:p w14:paraId="71019E43" w14:textId="691AD023"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2020</w:t>
            </w:r>
          </w:p>
        </w:tc>
        <w:tc>
          <w:tcPr>
            <w:tcW w:w="738" w:type="dxa"/>
          </w:tcPr>
          <w:p w14:paraId="1FC18F6C" w14:textId="699B9EFB"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2021</w:t>
            </w:r>
          </w:p>
        </w:tc>
        <w:tc>
          <w:tcPr>
            <w:tcW w:w="676" w:type="dxa"/>
          </w:tcPr>
          <w:p w14:paraId="796A292A" w14:textId="3182987A"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2022</w:t>
            </w:r>
          </w:p>
        </w:tc>
        <w:tc>
          <w:tcPr>
            <w:tcW w:w="676" w:type="dxa"/>
          </w:tcPr>
          <w:p w14:paraId="40303A29" w14:textId="44807BF7"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2023</w:t>
            </w:r>
          </w:p>
        </w:tc>
        <w:tc>
          <w:tcPr>
            <w:tcW w:w="680" w:type="dxa"/>
          </w:tcPr>
          <w:p w14:paraId="15340D24" w14:textId="4C5307FC"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2024</w:t>
            </w:r>
          </w:p>
        </w:tc>
        <w:tc>
          <w:tcPr>
            <w:tcW w:w="681" w:type="dxa"/>
          </w:tcPr>
          <w:p w14:paraId="08E8D42E" w14:textId="747854FE"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2025</w:t>
            </w:r>
          </w:p>
        </w:tc>
        <w:tc>
          <w:tcPr>
            <w:tcW w:w="680" w:type="dxa"/>
          </w:tcPr>
          <w:p w14:paraId="6720A1BB" w14:textId="04BAE762"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2026</w:t>
            </w:r>
          </w:p>
        </w:tc>
        <w:tc>
          <w:tcPr>
            <w:tcW w:w="676" w:type="dxa"/>
          </w:tcPr>
          <w:p w14:paraId="69E96589" w14:textId="10724D47" w:rsidR="00FA7B41" w:rsidRPr="001D6947" w:rsidRDefault="00FA7B41" w:rsidP="00FA7B41">
            <w:pPr>
              <w:pStyle w:val="Tabelid"/>
              <w:jc w:val="right"/>
              <w:cnfStyle w:val="100000000000" w:firstRow="1" w:lastRow="0" w:firstColumn="0" w:lastColumn="0" w:oddVBand="0" w:evenVBand="0" w:oddHBand="0" w:evenHBand="0" w:firstRowFirstColumn="0" w:firstRowLastColumn="0" w:lastRowFirstColumn="0" w:lastRowLastColumn="0"/>
            </w:pPr>
            <w:r w:rsidRPr="001D6947">
              <w:t>2027</w:t>
            </w:r>
          </w:p>
        </w:tc>
      </w:tr>
      <w:tr w:rsidR="00FA7B41" w:rsidRPr="001D6947" w14:paraId="613AF83D" w14:textId="77777777" w:rsidTr="005942C0">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3261" w:type="dxa"/>
            <w:noWrap/>
          </w:tcPr>
          <w:p w14:paraId="79496330" w14:textId="77777777" w:rsidR="00FA7B41" w:rsidRPr="001D6947" w:rsidRDefault="00FA7B41" w:rsidP="00FA7B41">
            <w:pPr>
              <w:pStyle w:val="Tabelid"/>
            </w:pPr>
          </w:p>
        </w:tc>
        <w:tc>
          <w:tcPr>
            <w:tcW w:w="1103" w:type="dxa"/>
          </w:tcPr>
          <w:p w14:paraId="130D2965" w14:textId="2185D6F8"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mln eurot</w:t>
            </w:r>
          </w:p>
        </w:tc>
        <w:tc>
          <w:tcPr>
            <w:tcW w:w="800" w:type="dxa"/>
          </w:tcPr>
          <w:p w14:paraId="34C83814" w14:textId="590074AF"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676" w:type="dxa"/>
          </w:tcPr>
          <w:p w14:paraId="2CC1CC6A" w14:textId="018931A6"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738" w:type="dxa"/>
          </w:tcPr>
          <w:p w14:paraId="49A6A046" w14:textId="17627786"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676" w:type="dxa"/>
          </w:tcPr>
          <w:p w14:paraId="16B75516" w14:textId="37900C8F"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676" w:type="dxa"/>
          </w:tcPr>
          <w:p w14:paraId="35D8D45D" w14:textId="7A987885"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680" w:type="dxa"/>
          </w:tcPr>
          <w:p w14:paraId="5A57C9A7" w14:textId="2FE25A4B"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681" w:type="dxa"/>
          </w:tcPr>
          <w:p w14:paraId="74DFEBA6" w14:textId="60DE08BE"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680" w:type="dxa"/>
          </w:tcPr>
          <w:p w14:paraId="4D60334B" w14:textId="0DCF9F81"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c>
          <w:tcPr>
            <w:tcW w:w="676" w:type="dxa"/>
          </w:tcPr>
          <w:p w14:paraId="7E9CA4FA" w14:textId="7805FDC4" w:rsidR="00FA7B41" w:rsidRPr="001D6947" w:rsidRDefault="00FA7B41" w:rsidP="00FA7B41">
            <w:pPr>
              <w:pStyle w:val="Tabelid"/>
              <w:cnfStyle w:val="000000100000" w:firstRow="0" w:lastRow="0" w:firstColumn="0" w:lastColumn="0" w:oddVBand="0" w:evenVBand="0" w:oddHBand="1" w:evenHBand="0" w:firstRowFirstColumn="0" w:firstRowLastColumn="0" w:lastRowFirstColumn="0" w:lastRowLastColumn="0"/>
              <w:rPr>
                <w:i/>
                <w:iCs/>
              </w:rPr>
            </w:pPr>
            <w:r w:rsidRPr="001D6947">
              <w:rPr>
                <w:i/>
                <w:iCs/>
              </w:rPr>
              <w:t>% SKPst</w:t>
            </w:r>
          </w:p>
        </w:tc>
      </w:tr>
      <w:tr w:rsidR="00FA7B41" w:rsidRPr="001D6947" w14:paraId="789BC0AB" w14:textId="77777777" w:rsidTr="005942C0">
        <w:trPr>
          <w:trHeight w:hRule="exact" w:val="63"/>
        </w:trPr>
        <w:tc>
          <w:tcPr>
            <w:cnfStyle w:val="001000000000" w:firstRow="0" w:lastRow="0" w:firstColumn="1" w:lastColumn="0" w:oddVBand="0" w:evenVBand="0" w:oddHBand="0" w:evenHBand="0" w:firstRowFirstColumn="0" w:firstRowLastColumn="0" w:lastRowFirstColumn="0" w:lastRowLastColumn="0"/>
            <w:tcW w:w="3261" w:type="dxa"/>
          </w:tcPr>
          <w:p w14:paraId="2E52146D" w14:textId="77777777" w:rsidR="00FA7B41" w:rsidRPr="001D6947" w:rsidRDefault="00FA7B41" w:rsidP="00FA7B41">
            <w:pPr>
              <w:pStyle w:val="Tabelid"/>
            </w:pPr>
          </w:p>
        </w:tc>
        <w:tc>
          <w:tcPr>
            <w:tcW w:w="1103" w:type="dxa"/>
          </w:tcPr>
          <w:p w14:paraId="583DE16C" w14:textId="77777777"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800" w:type="dxa"/>
          </w:tcPr>
          <w:p w14:paraId="557D8001" w14:textId="7AF9B266"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676" w:type="dxa"/>
          </w:tcPr>
          <w:p w14:paraId="24403F9E" w14:textId="001C372E"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738" w:type="dxa"/>
          </w:tcPr>
          <w:p w14:paraId="21B180C4" w14:textId="77777777"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676" w:type="dxa"/>
          </w:tcPr>
          <w:p w14:paraId="6D274E7C" w14:textId="185F78FF"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676" w:type="dxa"/>
          </w:tcPr>
          <w:p w14:paraId="2CBF232C" w14:textId="1247F24E"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680" w:type="dxa"/>
          </w:tcPr>
          <w:p w14:paraId="3BB51558" w14:textId="77777777"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681" w:type="dxa"/>
          </w:tcPr>
          <w:p w14:paraId="2D0099F3" w14:textId="77777777"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680" w:type="dxa"/>
          </w:tcPr>
          <w:p w14:paraId="0B1ED5F9" w14:textId="77777777"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c>
          <w:tcPr>
            <w:tcW w:w="676" w:type="dxa"/>
          </w:tcPr>
          <w:p w14:paraId="39036B01" w14:textId="77777777" w:rsidR="00FA7B41" w:rsidRPr="001D6947" w:rsidRDefault="00FA7B41" w:rsidP="00FA7B41">
            <w:pPr>
              <w:pStyle w:val="Tabelid"/>
              <w:cnfStyle w:val="000000000000" w:firstRow="0" w:lastRow="0" w:firstColumn="0" w:lastColumn="0" w:oddVBand="0" w:evenVBand="0" w:oddHBand="0" w:evenHBand="0" w:firstRowFirstColumn="0" w:firstRowLastColumn="0" w:lastRowFirstColumn="0" w:lastRowLastColumn="0"/>
            </w:pPr>
          </w:p>
        </w:tc>
      </w:tr>
      <w:tr w:rsidR="00BF1D2E" w:rsidRPr="001D6947" w14:paraId="5C7FDE84"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shd w:val="clear" w:color="auto" w:fill="D9D9D9" w:themeFill="background1" w:themeFillShade="D9"/>
            <w:noWrap/>
          </w:tcPr>
          <w:p w14:paraId="0A3B4CB2" w14:textId="7199154A" w:rsidR="00BF1D2E" w:rsidRPr="001D6947" w:rsidRDefault="00BF1D2E" w:rsidP="00BF1D2E">
            <w:pPr>
              <w:pStyle w:val="Tabelid"/>
              <w:rPr>
                <w:iCs/>
              </w:rPr>
            </w:pPr>
            <w:r w:rsidRPr="001D6947">
              <w:rPr>
                <w:iCs/>
              </w:rPr>
              <w:t>1. Valitsussektor</w:t>
            </w:r>
          </w:p>
        </w:tc>
        <w:tc>
          <w:tcPr>
            <w:tcW w:w="1103" w:type="dxa"/>
            <w:shd w:val="clear" w:color="auto" w:fill="D9D9D9" w:themeFill="background1" w:themeFillShade="D9"/>
          </w:tcPr>
          <w:p w14:paraId="1DDAB397" w14:textId="121263E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-335,4</w:t>
            </w:r>
          </w:p>
        </w:tc>
        <w:tc>
          <w:tcPr>
            <w:tcW w:w="800" w:type="dxa"/>
            <w:shd w:val="clear" w:color="auto" w:fill="D9D9D9" w:themeFill="background1" w:themeFillShade="D9"/>
          </w:tcPr>
          <w:p w14:paraId="257DB7F1" w14:textId="5D37F060"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0,1</w:t>
            </w:r>
          </w:p>
        </w:tc>
        <w:tc>
          <w:tcPr>
            <w:tcW w:w="676" w:type="dxa"/>
            <w:shd w:val="clear" w:color="auto" w:fill="D9D9D9" w:themeFill="background1" w:themeFillShade="D9"/>
          </w:tcPr>
          <w:p w14:paraId="476DEDF2" w14:textId="6D23CF3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-5,5</w:t>
            </w:r>
          </w:p>
        </w:tc>
        <w:tc>
          <w:tcPr>
            <w:tcW w:w="738" w:type="dxa"/>
            <w:shd w:val="clear" w:color="auto" w:fill="D9D9D9" w:themeFill="background1" w:themeFillShade="D9"/>
          </w:tcPr>
          <w:p w14:paraId="3AF2AC9D" w14:textId="2D70ED0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-2,4</w:t>
            </w:r>
          </w:p>
        </w:tc>
        <w:tc>
          <w:tcPr>
            <w:tcW w:w="676" w:type="dxa"/>
            <w:shd w:val="clear" w:color="auto" w:fill="D9D9D9" w:themeFill="background1" w:themeFillShade="D9"/>
          </w:tcPr>
          <w:p w14:paraId="0CCCEE48" w14:textId="0974DA8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-0,9</w:t>
            </w:r>
          </w:p>
        </w:tc>
        <w:tc>
          <w:tcPr>
            <w:tcW w:w="676" w:type="dxa"/>
            <w:shd w:val="clear" w:color="auto" w:fill="D9D9D9" w:themeFill="background1" w:themeFillShade="D9"/>
          </w:tcPr>
          <w:p w14:paraId="556FF58F" w14:textId="26A8386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-3,3</w:t>
            </w:r>
          </w:p>
        </w:tc>
        <w:tc>
          <w:tcPr>
            <w:tcW w:w="680" w:type="dxa"/>
            <w:shd w:val="clear" w:color="auto" w:fill="D9D9D9" w:themeFill="background1" w:themeFillShade="D9"/>
          </w:tcPr>
          <w:p w14:paraId="432C49FD" w14:textId="695D196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-2,9</w:t>
            </w:r>
          </w:p>
        </w:tc>
        <w:tc>
          <w:tcPr>
            <w:tcW w:w="681" w:type="dxa"/>
            <w:shd w:val="clear" w:color="auto" w:fill="D9D9D9" w:themeFill="background1" w:themeFillShade="D9"/>
          </w:tcPr>
          <w:p w14:paraId="151F3CFD" w14:textId="610C6A3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-4,1</w:t>
            </w:r>
          </w:p>
        </w:tc>
        <w:tc>
          <w:tcPr>
            <w:tcW w:w="680" w:type="dxa"/>
            <w:shd w:val="clear" w:color="auto" w:fill="D9D9D9" w:themeFill="background1" w:themeFillShade="D9"/>
          </w:tcPr>
          <w:p w14:paraId="6A7373B9" w14:textId="272A03E9"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w:t>
            </w:r>
          </w:p>
        </w:tc>
        <w:tc>
          <w:tcPr>
            <w:tcW w:w="676" w:type="dxa"/>
            <w:shd w:val="clear" w:color="auto" w:fill="D9D9D9" w:themeFill="background1" w:themeFillShade="D9"/>
          </w:tcPr>
          <w:p w14:paraId="6A2B7ACA" w14:textId="0ECB8F0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-4,4</w:t>
            </w:r>
          </w:p>
        </w:tc>
      </w:tr>
      <w:tr w:rsidR="00BF1D2E" w:rsidRPr="001D6947" w14:paraId="0CC44DA4"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30884672" w14:textId="2DA5A177" w:rsidR="00BF1D2E" w:rsidRPr="001D6947" w:rsidRDefault="00BF1D2E" w:rsidP="00BF1D2E">
            <w:pPr>
              <w:pStyle w:val="Tabelid"/>
              <w:rPr>
                <w:iCs/>
              </w:rPr>
            </w:pPr>
            <w:r w:rsidRPr="001D6947">
              <w:rPr>
                <w:iCs/>
              </w:rPr>
              <w:t>2. Keskvalitsus</w:t>
            </w:r>
          </w:p>
        </w:tc>
        <w:tc>
          <w:tcPr>
            <w:tcW w:w="1103" w:type="dxa"/>
          </w:tcPr>
          <w:p w14:paraId="2ACB8BF7" w14:textId="1CA3585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-388,2</w:t>
            </w:r>
          </w:p>
        </w:tc>
        <w:tc>
          <w:tcPr>
            <w:tcW w:w="800" w:type="dxa"/>
          </w:tcPr>
          <w:p w14:paraId="0409D56F" w14:textId="7A945BF0"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-0,3</w:t>
            </w:r>
          </w:p>
        </w:tc>
        <w:tc>
          <w:tcPr>
            <w:tcW w:w="676" w:type="dxa"/>
          </w:tcPr>
          <w:p w14:paraId="58A5641E" w14:textId="7D439B3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-4,4</w:t>
            </w:r>
          </w:p>
        </w:tc>
        <w:tc>
          <w:tcPr>
            <w:tcW w:w="738" w:type="dxa"/>
          </w:tcPr>
          <w:p w14:paraId="206A0EBC" w14:textId="60BC6F3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-2,5</w:t>
            </w:r>
          </w:p>
        </w:tc>
        <w:tc>
          <w:tcPr>
            <w:tcW w:w="676" w:type="dxa"/>
          </w:tcPr>
          <w:p w14:paraId="59A781B8" w14:textId="275135A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-1,1</w:t>
            </w:r>
          </w:p>
        </w:tc>
        <w:tc>
          <w:tcPr>
            <w:tcW w:w="676" w:type="dxa"/>
          </w:tcPr>
          <w:p w14:paraId="5457583A" w14:textId="6728499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-3,2</w:t>
            </w:r>
          </w:p>
        </w:tc>
        <w:tc>
          <w:tcPr>
            <w:tcW w:w="680" w:type="dxa"/>
          </w:tcPr>
          <w:p w14:paraId="35E096FE" w14:textId="14F1689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-2,6</w:t>
            </w:r>
          </w:p>
        </w:tc>
        <w:tc>
          <w:tcPr>
            <w:tcW w:w="681" w:type="dxa"/>
          </w:tcPr>
          <w:p w14:paraId="040D53A9" w14:textId="039DFD1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-3,6</w:t>
            </w:r>
          </w:p>
        </w:tc>
        <w:tc>
          <w:tcPr>
            <w:tcW w:w="680" w:type="dxa"/>
          </w:tcPr>
          <w:p w14:paraId="0E4F3584" w14:textId="2EE515F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-3,6</w:t>
            </w:r>
          </w:p>
        </w:tc>
        <w:tc>
          <w:tcPr>
            <w:tcW w:w="676" w:type="dxa"/>
          </w:tcPr>
          <w:p w14:paraId="0FC4C87F" w14:textId="61521EF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w:t>
            </w:r>
          </w:p>
        </w:tc>
      </w:tr>
      <w:tr w:rsidR="00BF1D2E" w:rsidRPr="001D6947" w14:paraId="62384BF0"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61E34A64" w14:textId="0DE70E48" w:rsidR="00BF1D2E" w:rsidRPr="001D6947" w:rsidRDefault="00BF1D2E" w:rsidP="00BF1D2E">
            <w:pPr>
              <w:pStyle w:val="Tabelid"/>
              <w:rPr>
                <w:iCs/>
              </w:rPr>
            </w:pPr>
            <w:r w:rsidRPr="001D6947">
              <w:rPr>
                <w:iCs/>
              </w:rPr>
              <w:t>4. Kohalikud omavalitsused</w:t>
            </w:r>
          </w:p>
        </w:tc>
        <w:tc>
          <w:tcPr>
            <w:tcW w:w="1103" w:type="dxa"/>
          </w:tcPr>
          <w:p w14:paraId="73EB07D5" w14:textId="34762F7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-104,3</w:t>
            </w:r>
          </w:p>
        </w:tc>
        <w:tc>
          <w:tcPr>
            <w:tcW w:w="800" w:type="dxa"/>
          </w:tcPr>
          <w:p w14:paraId="287EC73E" w14:textId="054A723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676" w:type="dxa"/>
          </w:tcPr>
          <w:p w14:paraId="561B6A7A" w14:textId="2F53F2C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738" w:type="dxa"/>
          </w:tcPr>
          <w:p w14:paraId="3D7BCA4C" w14:textId="1068675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-0,3</w:t>
            </w:r>
          </w:p>
        </w:tc>
        <w:tc>
          <w:tcPr>
            <w:tcW w:w="676" w:type="dxa"/>
          </w:tcPr>
          <w:p w14:paraId="4B4E3A51" w14:textId="0894886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-0,3</w:t>
            </w:r>
          </w:p>
        </w:tc>
        <w:tc>
          <w:tcPr>
            <w:tcW w:w="676" w:type="dxa"/>
          </w:tcPr>
          <w:p w14:paraId="79F342C6" w14:textId="6C66551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-0,3</w:t>
            </w:r>
          </w:p>
        </w:tc>
        <w:tc>
          <w:tcPr>
            <w:tcW w:w="680" w:type="dxa"/>
          </w:tcPr>
          <w:p w14:paraId="0455A7DC" w14:textId="5DC673B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-0,3</w:t>
            </w:r>
          </w:p>
        </w:tc>
        <w:tc>
          <w:tcPr>
            <w:tcW w:w="681" w:type="dxa"/>
          </w:tcPr>
          <w:p w14:paraId="65155532" w14:textId="44D5598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-0,3</w:t>
            </w:r>
          </w:p>
        </w:tc>
        <w:tc>
          <w:tcPr>
            <w:tcW w:w="680" w:type="dxa"/>
          </w:tcPr>
          <w:p w14:paraId="7E725ACB" w14:textId="57B88E5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-0,2</w:t>
            </w:r>
          </w:p>
        </w:tc>
        <w:tc>
          <w:tcPr>
            <w:tcW w:w="676" w:type="dxa"/>
          </w:tcPr>
          <w:p w14:paraId="041212B7" w14:textId="00EEE93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-0,3</w:t>
            </w:r>
          </w:p>
        </w:tc>
      </w:tr>
      <w:tr w:rsidR="00BF1D2E" w:rsidRPr="001D6947" w14:paraId="2EC933E4"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24C614D3" w14:textId="18CD4CDB" w:rsidR="00BF1D2E" w:rsidRPr="001D6947" w:rsidRDefault="00BF1D2E" w:rsidP="00BF1D2E">
            <w:pPr>
              <w:pStyle w:val="Tabelid"/>
              <w:rPr>
                <w:iCs/>
              </w:rPr>
            </w:pPr>
            <w:r w:rsidRPr="001D6947">
              <w:rPr>
                <w:iCs/>
              </w:rPr>
              <w:t>5. Sotsiaalkindlustusfondid</w:t>
            </w:r>
          </w:p>
        </w:tc>
        <w:tc>
          <w:tcPr>
            <w:tcW w:w="1103" w:type="dxa"/>
          </w:tcPr>
          <w:p w14:paraId="66E47A0B" w14:textId="2978E1E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157,1</w:t>
            </w:r>
          </w:p>
        </w:tc>
        <w:tc>
          <w:tcPr>
            <w:tcW w:w="800" w:type="dxa"/>
          </w:tcPr>
          <w:p w14:paraId="148F2707" w14:textId="53376FD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0,4</w:t>
            </w:r>
          </w:p>
        </w:tc>
        <w:tc>
          <w:tcPr>
            <w:tcW w:w="676" w:type="dxa"/>
          </w:tcPr>
          <w:p w14:paraId="02423590" w14:textId="26B7927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-1,2</w:t>
            </w:r>
          </w:p>
        </w:tc>
        <w:tc>
          <w:tcPr>
            <w:tcW w:w="738" w:type="dxa"/>
          </w:tcPr>
          <w:p w14:paraId="6D02E84D" w14:textId="4145055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0,4</w:t>
            </w:r>
          </w:p>
        </w:tc>
        <w:tc>
          <w:tcPr>
            <w:tcW w:w="676" w:type="dxa"/>
          </w:tcPr>
          <w:p w14:paraId="51130892" w14:textId="1C801FFE"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0,4</w:t>
            </w:r>
          </w:p>
        </w:tc>
        <w:tc>
          <w:tcPr>
            <w:tcW w:w="676" w:type="dxa"/>
          </w:tcPr>
          <w:p w14:paraId="18FFC660" w14:textId="1EE7FB5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0,2</w:t>
            </w:r>
          </w:p>
        </w:tc>
        <w:tc>
          <w:tcPr>
            <w:tcW w:w="680" w:type="dxa"/>
          </w:tcPr>
          <w:p w14:paraId="276A10B7" w14:textId="10ABCD2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0,0</w:t>
            </w:r>
          </w:p>
        </w:tc>
        <w:tc>
          <w:tcPr>
            <w:tcW w:w="681" w:type="dxa"/>
          </w:tcPr>
          <w:p w14:paraId="2B100D08" w14:textId="2B77977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-0,2</w:t>
            </w:r>
          </w:p>
        </w:tc>
        <w:tc>
          <w:tcPr>
            <w:tcW w:w="680" w:type="dxa"/>
          </w:tcPr>
          <w:p w14:paraId="21D0A980" w14:textId="0C04AB2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-0,3</w:t>
            </w:r>
          </w:p>
        </w:tc>
        <w:tc>
          <w:tcPr>
            <w:tcW w:w="676" w:type="dxa"/>
          </w:tcPr>
          <w:p w14:paraId="5D0352D0" w14:textId="3653ED8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-0,4</w:t>
            </w:r>
          </w:p>
        </w:tc>
      </w:tr>
      <w:tr w:rsidR="000412C6" w:rsidRPr="001D6947" w14:paraId="331CA6CC" w14:textId="77777777" w:rsidTr="005942C0">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18195B5B" w14:textId="309022C5" w:rsidR="000412C6" w:rsidRPr="001D6947" w:rsidRDefault="000412C6" w:rsidP="000412C6">
            <w:pPr>
              <w:pStyle w:val="Tabelid"/>
              <w:rPr>
                <w:iCs/>
              </w:rPr>
            </w:pPr>
            <w:r w:rsidRPr="001D6947">
              <w:rPr>
                <w:iCs/>
              </w:rPr>
              <w:t>Valitsussektor</w:t>
            </w:r>
          </w:p>
        </w:tc>
        <w:tc>
          <w:tcPr>
            <w:tcW w:w="1103" w:type="dxa"/>
          </w:tcPr>
          <w:p w14:paraId="19892DD0" w14:textId="77777777"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800" w:type="dxa"/>
          </w:tcPr>
          <w:p w14:paraId="66AE9122" w14:textId="662AF86C"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676" w:type="dxa"/>
          </w:tcPr>
          <w:p w14:paraId="3FF7B70A" w14:textId="52D8EAA5"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738" w:type="dxa"/>
          </w:tcPr>
          <w:p w14:paraId="678EED9E" w14:textId="77777777"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676" w:type="dxa"/>
          </w:tcPr>
          <w:p w14:paraId="4D49AC00" w14:textId="1A712DCF"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676" w:type="dxa"/>
          </w:tcPr>
          <w:p w14:paraId="6562EC61" w14:textId="16DF9559"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680" w:type="dxa"/>
          </w:tcPr>
          <w:p w14:paraId="1F133615" w14:textId="03560A8E"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681" w:type="dxa"/>
          </w:tcPr>
          <w:p w14:paraId="3F0E8C3C" w14:textId="220A61C8"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680" w:type="dxa"/>
          </w:tcPr>
          <w:p w14:paraId="2C26B403" w14:textId="14DA9ECA"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c>
          <w:tcPr>
            <w:tcW w:w="676" w:type="dxa"/>
          </w:tcPr>
          <w:p w14:paraId="63D4A53D" w14:textId="17E3AFC4" w:rsidR="000412C6" w:rsidRPr="001D6947" w:rsidRDefault="000412C6" w:rsidP="000412C6">
            <w:pPr>
              <w:pStyle w:val="Tabelid"/>
              <w:jc w:val="right"/>
              <w:cnfStyle w:val="000000100000" w:firstRow="0" w:lastRow="0" w:firstColumn="0" w:lastColumn="0" w:oddVBand="0" w:evenVBand="0" w:oddHBand="1" w:evenHBand="0" w:firstRowFirstColumn="0" w:firstRowLastColumn="0" w:lastRowFirstColumn="0" w:lastRowLastColumn="0"/>
            </w:pPr>
          </w:p>
        </w:tc>
      </w:tr>
      <w:tr w:rsidR="00BF1D2E" w:rsidRPr="001D6947" w14:paraId="3FBDC3F8"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77D86E84" w14:textId="519CB734" w:rsidR="00BF1D2E" w:rsidRPr="001D6947" w:rsidRDefault="00BF1D2E" w:rsidP="00BF1D2E">
            <w:pPr>
              <w:pStyle w:val="Tabelid"/>
              <w:rPr>
                <w:iCs/>
              </w:rPr>
            </w:pPr>
            <w:r w:rsidRPr="001D6947">
              <w:rPr>
                <w:iCs/>
              </w:rPr>
              <w:t>6. Tulud kokku</w:t>
            </w:r>
          </w:p>
        </w:tc>
        <w:tc>
          <w:tcPr>
            <w:tcW w:w="1103" w:type="dxa"/>
          </w:tcPr>
          <w:p w14:paraId="66D9DD34" w14:textId="6718D8F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13 931,7</w:t>
            </w:r>
          </w:p>
        </w:tc>
        <w:tc>
          <w:tcPr>
            <w:tcW w:w="800" w:type="dxa"/>
          </w:tcPr>
          <w:p w14:paraId="4CA729AF" w14:textId="23E24B5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38,9</w:t>
            </w:r>
          </w:p>
        </w:tc>
        <w:tc>
          <w:tcPr>
            <w:tcW w:w="676" w:type="dxa"/>
          </w:tcPr>
          <w:p w14:paraId="34BA9C6A" w14:textId="18865A1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39,5</w:t>
            </w:r>
          </w:p>
        </w:tc>
        <w:tc>
          <w:tcPr>
            <w:tcW w:w="738" w:type="dxa"/>
          </w:tcPr>
          <w:p w14:paraId="0F787D94" w14:textId="1CCDB6D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39,4</w:t>
            </w:r>
          </w:p>
        </w:tc>
        <w:tc>
          <w:tcPr>
            <w:tcW w:w="676" w:type="dxa"/>
          </w:tcPr>
          <w:p w14:paraId="4103E6B2" w14:textId="4A4F715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38,7</w:t>
            </w:r>
          </w:p>
        </w:tc>
        <w:tc>
          <w:tcPr>
            <w:tcW w:w="676" w:type="dxa"/>
          </w:tcPr>
          <w:p w14:paraId="488D8DBE" w14:textId="3DD2AF2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39,8</w:t>
            </w:r>
          </w:p>
        </w:tc>
        <w:tc>
          <w:tcPr>
            <w:tcW w:w="680" w:type="dxa"/>
          </w:tcPr>
          <w:p w14:paraId="79838EEE" w14:textId="62D2F67E"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39,6</w:t>
            </w:r>
          </w:p>
        </w:tc>
        <w:tc>
          <w:tcPr>
            <w:tcW w:w="681" w:type="dxa"/>
          </w:tcPr>
          <w:p w14:paraId="470F49A8" w14:textId="10D5FDD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38,2</w:t>
            </w:r>
          </w:p>
        </w:tc>
        <w:tc>
          <w:tcPr>
            <w:tcW w:w="680" w:type="dxa"/>
          </w:tcPr>
          <w:p w14:paraId="30897BFD" w14:textId="3A464EB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38,5</w:t>
            </w:r>
          </w:p>
        </w:tc>
        <w:tc>
          <w:tcPr>
            <w:tcW w:w="676" w:type="dxa"/>
          </w:tcPr>
          <w:p w14:paraId="2566571A" w14:textId="29866A7A"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37,7</w:t>
            </w:r>
          </w:p>
        </w:tc>
      </w:tr>
      <w:tr w:rsidR="00BF1D2E" w:rsidRPr="001D6947" w14:paraId="7EEF9334"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6E13DE87" w14:textId="68A0CFE6" w:rsidR="00BF1D2E" w:rsidRPr="001D6947" w:rsidRDefault="00BF1D2E" w:rsidP="00BF1D2E">
            <w:pPr>
              <w:pStyle w:val="Tabelid"/>
              <w:rPr>
                <w:iCs/>
              </w:rPr>
            </w:pPr>
            <w:r w:rsidRPr="001D6947">
              <w:rPr>
                <w:iCs/>
              </w:rPr>
              <w:t>7. Kulud kokku</w:t>
            </w:r>
          </w:p>
        </w:tc>
        <w:tc>
          <w:tcPr>
            <w:tcW w:w="1103" w:type="dxa"/>
          </w:tcPr>
          <w:p w14:paraId="0045F8F1" w14:textId="21B8731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14 267,1</w:t>
            </w:r>
          </w:p>
        </w:tc>
        <w:tc>
          <w:tcPr>
            <w:tcW w:w="800" w:type="dxa"/>
          </w:tcPr>
          <w:p w14:paraId="752BE619" w14:textId="084BDA9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38,</w:t>
            </w:r>
            <w:r w:rsidR="00F74C5D">
              <w:t>8</w:t>
            </w:r>
          </w:p>
        </w:tc>
        <w:tc>
          <w:tcPr>
            <w:tcW w:w="676" w:type="dxa"/>
          </w:tcPr>
          <w:p w14:paraId="47EC5276" w14:textId="016D483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44,9</w:t>
            </w:r>
          </w:p>
        </w:tc>
        <w:tc>
          <w:tcPr>
            <w:tcW w:w="738" w:type="dxa"/>
          </w:tcPr>
          <w:p w14:paraId="028C2CDF" w14:textId="3B041C0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41,8</w:t>
            </w:r>
          </w:p>
        </w:tc>
        <w:tc>
          <w:tcPr>
            <w:tcW w:w="676" w:type="dxa"/>
          </w:tcPr>
          <w:p w14:paraId="5D57495F" w14:textId="664B8B7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39,6</w:t>
            </w:r>
          </w:p>
        </w:tc>
        <w:tc>
          <w:tcPr>
            <w:tcW w:w="676" w:type="dxa"/>
          </w:tcPr>
          <w:p w14:paraId="1C92C06E" w14:textId="7537636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43,1</w:t>
            </w:r>
          </w:p>
        </w:tc>
        <w:tc>
          <w:tcPr>
            <w:tcW w:w="680" w:type="dxa"/>
          </w:tcPr>
          <w:p w14:paraId="44ED03BE" w14:textId="797211E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42,5</w:t>
            </w:r>
          </w:p>
        </w:tc>
        <w:tc>
          <w:tcPr>
            <w:tcW w:w="681" w:type="dxa"/>
          </w:tcPr>
          <w:p w14:paraId="53B56A50" w14:textId="2BD1537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42,3</w:t>
            </w:r>
          </w:p>
        </w:tc>
        <w:tc>
          <w:tcPr>
            <w:tcW w:w="680" w:type="dxa"/>
          </w:tcPr>
          <w:p w14:paraId="71BC542E" w14:textId="629C590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42,7</w:t>
            </w:r>
          </w:p>
        </w:tc>
        <w:tc>
          <w:tcPr>
            <w:tcW w:w="676" w:type="dxa"/>
          </w:tcPr>
          <w:p w14:paraId="60F64FBC" w14:textId="42D6B859"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42,1</w:t>
            </w:r>
          </w:p>
        </w:tc>
      </w:tr>
      <w:tr w:rsidR="00BF1D2E" w:rsidRPr="001D6947" w14:paraId="2B1966B9"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47EF3DEE" w14:textId="0D447C5F" w:rsidR="00BF1D2E" w:rsidRPr="001D6947" w:rsidRDefault="00BF1D2E" w:rsidP="00BF1D2E">
            <w:pPr>
              <w:pStyle w:val="Tabelid"/>
              <w:rPr>
                <w:iCs/>
              </w:rPr>
            </w:pPr>
            <w:r w:rsidRPr="001D6947">
              <w:rPr>
                <w:iCs/>
              </w:rPr>
              <w:t>8. Eelarvepositsioon</w:t>
            </w:r>
          </w:p>
        </w:tc>
        <w:tc>
          <w:tcPr>
            <w:tcW w:w="1103" w:type="dxa"/>
          </w:tcPr>
          <w:p w14:paraId="23BD4D5D" w14:textId="4256C8B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-335,4</w:t>
            </w:r>
          </w:p>
        </w:tc>
        <w:tc>
          <w:tcPr>
            <w:tcW w:w="800" w:type="dxa"/>
          </w:tcPr>
          <w:p w14:paraId="6E739F33" w14:textId="59A920C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0,1</w:t>
            </w:r>
          </w:p>
        </w:tc>
        <w:tc>
          <w:tcPr>
            <w:tcW w:w="676" w:type="dxa"/>
          </w:tcPr>
          <w:p w14:paraId="1CB3B95C" w14:textId="1FCEEA0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-5,5</w:t>
            </w:r>
          </w:p>
        </w:tc>
        <w:tc>
          <w:tcPr>
            <w:tcW w:w="738" w:type="dxa"/>
          </w:tcPr>
          <w:p w14:paraId="218919FC" w14:textId="4F81406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c>
          <w:tcPr>
            <w:tcW w:w="676" w:type="dxa"/>
          </w:tcPr>
          <w:p w14:paraId="2AC23BF2" w14:textId="5DEC413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-0,9</w:t>
            </w:r>
          </w:p>
        </w:tc>
        <w:tc>
          <w:tcPr>
            <w:tcW w:w="676" w:type="dxa"/>
          </w:tcPr>
          <w:p w14:paraId="4FFED450" w14:textId="42DA477A"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-3,3</w:t>
            </w:r>
          </w:p>
        </w:tc>
        <w:tc>
          <w:tcPr>
            <w:tcW w:w="680" w:type="dxa"/>
          </w:tcPr>
          <w:p w14:paraId="7E23DFFE" w14:textId="33C7923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-2,9</w:t>
            </w:r>
          </w:p>
        </w:tc>
        <w:tc>
          <w:tcPr>
            <w:tcW w:w="681" w:type="dxa"/>
          </w:tcPr>
          <w:p w14:paraId="415518CC" w14:textId="77B4036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-4,1</w:t>
            </w:r>
          </w:p>
        </w:tc>
        <w:tc>
          <w:tcPr>
            <w:tcW w:w="680" w:type="dxa"/>
          </w:tcPr>
          <w:p w14:paraId="78A517F5" w14:textId="6DD0F3D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-4,2</w:t>
            </w:r>
          </w:p>
        </w:tc>
        <w:tc>
          <w:tcPr>
            <w:tcW w:w="676" w:type="dxa"/>
          </w:tcPr>
          <w:p w14:paraId="709507A4" w14:textId="262A723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-4,4</w:t>
            </w:r>
          </w:p>
        </w:tc>
      </w:tr>
      <w:tr w:rsidR="00BF1D2E" w:rsidRPr="001D6947" w14:paraId="175088C4"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088685B3" w14:textId="2208A7DD" w:rsidR="00BF1D2E" w:rsidRPr="001D6947" w:rsidRDefault="00BF1D2E" w:rsidP="00BF1D2E">
            <w:pPr>
              <w:pStyle w:val="Tabelid"/>
              <w:rPr>
                <w:iCs/>
              </w:rPr>
            </w:pPr>
            <w:r w:rsidRPr="001D6947">
              <w:rPr>
                <w:iCs/>
              </w:rPr>
              <w:t>9. Intressikulu</w:t>
            </w:r>
          </w:p>
        </w:tc>
        <w:tc>
          <w:tcPr>
            <w:tcW w:w="1103" w:type="dxa"/>
          </w:tcPr>
          <w:p w14:paraId="2DA3623A" w14:textId="08A7C5E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27,9</w:t>
            </w:r>
          </w:p>
        </w:tc>
        <w:tc>
          <w:tcPr>
            <w:tcW w:w="800" w:type="dxa"/>
          </w:tcPr>
          <w:p w14:paraId="34400FE4" w14:textId="5AA3C17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0,1</w:t>
            </w:r>
          </w:p>
        </w:tc>
        <w:tc>
          <w:tcPr>
            <w:tcW w:w="676" w:type="dxa"/>
          </w:tcPr>
          <w:p w14:paraId="23744462" w14:textId="1ABE4C2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738" w:type="dxa"/>
          </w:tcPr>
          <w:p w14:paraId="3281B62A" w14:textId="4C0D9F5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676" w:type="dxa"/>
          </w:tcPr>
          <w:p w14:paraId="4244E676" w14:textId="365C9AC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0,1</w:t>
            </w:r>
          </w:p>
        </w:tc>
        <w:tc>
          <w:tcPr>
            <w:tcW w:w="676" w:type="dxa"/>
          </w:tcPr>
          <w:p w14:paraId="15FDE135" w14:textId="27DED74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0,5</w:t>
            </w:r>
          </w:p>
        </w:tc>
        <w:tc>
          <w:tcPr>
            <w:tcW w:w="680" w:type="dxa"/>
          </w:tcPr>
          <w:p w14:paraId="47B566D3" w14:textId="2683A35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681" w:type="dxa"/>
          </w:tcPr>
          <w:p w14:paraId="15368BD0" w14:textId="6196A71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0,7</w:t>
            </w:r>
          </w:p>
        </w:tc>
        <w:tc>
          <w:tcPr>
            <w:tcW w:w="680" w:type="dxa"/>
          </w:tcPr>
          <w:p w14:paraId="689E7843" w14:textId="39F084C0"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0,8</w:t>
            </w:r>
          </w:p>
        </w:tc>
        <w:tc>
          <w:tcPr>
            <w:tcW w:w="676" w:type="dxa"/>
          </w:tcPr>
          <w:p w14:paraId="22788A0B" w14:textId="322219C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1,0</w:t>
            </w:r>
          </w:p>
        </w:tc>
      </w:tr>
      <w:tr w:rsidR="00BF1D2E" w:rsidRPr="001D6947" w14:paraId="74D99699"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noWrap/>
          </w:tcPr>
          <w:p w14:paraId="079B8E04" w14:textId="57B26F3E" w:rsidR="00BF1D2E" w:rsidRPr="001D6947" w:rsidRDefault="00BF1D2E" w:rsidP="00BF1D2E">
            <w:pPr>
              <w:pStyle w:val="Tabelid"/>
              <w:rPr>
                <w:iCs/>
              </w:rPr>
            </w:pPr>
            <w:r w:rsidRPr="001D6947">
              <w:rPr>
                <w:iCs/>
              </w:rPr>
              <w:t>10. Primaartasakaal</w:t>
            </w:r>
          </w:p>
        </w:tc>
        <w:tc>
          <w:tcPr>
            <w:tcW w:w="1103" w:type="dxa"/>
          </w:tcPr>
          <w:p w14:paraId="34A2AD07" w14:textId="422D386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-307,5</w:t>
            </w:r>
          </w:p>
        </w:tc>
        <w:tc>
          <w:tcPr>
            <w:tcW w:w="800" w:type="dxa"/>
          </w:tcPr>
          <w:p w14:paraId="7748D744" w14:textId="65CA8EA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0,1</w:t>
            </w:r>
          </w:p>
        </w:tc>
        <w:tc>
          <w:tcPr>
            <w:tcW w:w="676" w:type="dxa"/>
          </w:tcPr>
          <w:p w14:paraId="6E23A112" w14:textId="0BFF752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-5,4</w:t>
            </w:r>
          </w:p>
        </w:tc>
        <w:tc>
          <w:tcPr>
            <w:tcW w:w="738" w:type="dxa"/>
          </w:tcPr>
          <w:p w14:paraId="7C46186F" w14:textId="7AA9F5F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c>
          <w:tcPr>
            <w:tcW w:w="676" w:type="dxa"/>
          </w:tcPr>
          <w:p w14:paraId="7A8D0F7F" w14:textId="149D880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-0,9</w:t>
            </w:r>
          </w:p>
        </w:tc>
        <w:tc>
          <w:tcPr>
            <w:tcW w:w="676" w:type="dxa"/>
          </w:tcPr>
          <w:p w14:paraId="29430D49" w14:textId="6B70DE5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-2,8</w:t>
            </w:r>
          </w:p>
        </w:tc>
        <w:tc>
          <w:tcPr>
            <w:tcW w:w="680" w:type="dxa"/>
          </w:tcPr>
          <w:p w14:paraId="0C616564" w14:textId="25F681D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-2,3</w:t>
            </w:r>
          </w:p>
        </w:tc>
        <w:tc>
          <w:tcPr>
            <w:tcW w:w="681" w:type="dxa"/>
          </w:tcPr>
          <w:p w14:paraId="0F7B65D4" w14:textId="4C1CEB6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-3,4</w:t>
            </w:r>
          </w:p>
        </w:tc>
        <w:tc>
          <w:tcPr>
            <w:tcW w:w="680" w:type="dxa"/>
          </w:tcPr>
          <w:p w14:paraId="0BFE27D9" w14:textId="083B77E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-3,3</w:t>
            </w:r>
          </w:p>
        </w:tc>
        <w:tc>
          <w:tcPr>
            <w:tcW w:w="676" w:type="dxa"/>
          </w:tcPr>
          <w:p w14:paraId="304B5B4B" w14:textId="0941F0E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-3,4</w:t>
            </w:r>
          </w:p>
        </w:tc>
      </w:tr>
      <w:tr w:rsidR="00BF1D2E" w:rsidRPr="001D6947" w14:paraId="5DEC0ABE"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5A735E72" w14:textId="4317BD72" w:rsidR="00BF1D2E" w:rsidRPr="001D6947" w:rsidRDefault="00BF1D2E" w:rsidP="00BF1D2E">
            <w:pPr>
              <w:pStyle w:val="Tabelid"/>
              <w:rPr>
                <w:iCs/>
              </w:rPr>
            </w:pPr>
            <w:r w:rsidRPr="001D6947">
              <w:rPr>
                <w:iCs/>
              </w:rPr>
              <w:t>11. Ühekordsed ja ajutised meetmed</w:t>
            </w:r>
          </w:p>
        </w:tc>
        <w:tc>
          <w:tcPr>
            <w:tcW w:w="1103" w:type="dxa"/>
          </w:tcPr>
          <w:p w14:paraId="7ECD6F22" w14:textId="48C03D3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85,4</w:t>
            </w:r>
          </w:p>
        </w:tc>
        <w:tc>
          <w:tcPr>
            <w:tcW w:w="800" w:type="dxa"/>
          </w:tcPr>
          <w:p w14:paraId="39DEC984" w14:textId="147B8EE0"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-0,1</w:t>
            </w:r>
          </w:p>
        </w:tc>
        <w:tc>
          <w:tcPr>
            <w:tcW w:w="676" w:type="dxa"/>
          </w:tcPr>
          <w:p w14:paraId="2AEBA01A" w14:textId="0EBED8D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738" w:type="dxa"/>
          </w:tcPr>
          <w:p w14:paraId="14CEA8EF" w14:textId="4028A78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0,9</w:t>
            </w:r>
          </w:p>
        </w:tc>
        <w:tc>
          <w:tcPr>
            <w:tcW w:w="676" w:type="dxa"/>
          </w:tcPr>
          <w:p w14:paraId="429E62ED" w14:textId="7E52804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0,2</w:t>
            </w:r>
          </w:p>
        </w:tc>
        <w:tc>
          <w:tcPr>
            <w:tcW w:w="676" w:type="dxa"/>
          </w:tcPr>
          <w:p w14:paraId="3C0BD206" w14:textId="387F41D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680" w:type="dxa"/>
          </w:tcPr>
          <w:p w14:paraId="2C850453" w14:textId="7892F05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681" w:type="dxa"/>
          </w:tcPr>
          <w:p w14:paraId="0603BD52" w14:textId="2F8D1ED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680" w:type="dxa"/>
          </w:tcPr>
          <w:p w14:paraId="5882AC1C" w14:textId="7B34F78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c>
          <w:tcPr>
            <w:tcW w:w="676" w:type="dxa"/>
          </w:tcPr>
          <w:p w14:paraId="2811864A" w14:textId="5EC8371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0,0</w:t>
            </w:r>
          </w:p>
        </w:tc>
      </w:tr>
      <w:tr w:rsidR="000412C6" w:rsidRPr="001D6947" w14:paraId="2AF5F1C7" w14:textId="77777777" w:rsidTr="005942C0">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5F43A0D0" w14:textId="6FB0FD35" w:rsidR="000412C6" w:rsidRPr="001D6947" w:rsidRDefault="000412C6" w:rsidP="000412C6">
            <w:pPr>
              <w:pStyle w:val="Tabelid"/>
              <w:rPr>
                <w:iCs/>
              </w:rPr>
            </w:pPr>
            <w:r w:rsidRPr="001D6947">
              <w:rPr>
                <w:iCs/>
              </w:rPr>
              <w:t>Tulud komponentide lõikes</w:t>
            </w:r>
          </w:p>
        </w:tc>
        <w:tc>
          <w:tcPr>
            <w:tcW w:w="1103" w:type="dxa"/>
          </w:tcPr>
          <w:p w14:paraId="2B95378F" w14:textId="77777777"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800" w:type="dxa"/>
          </w:tcPr>
          <w:p w14:paraId="2FA126E5" w14:textId="2A2D6C01"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6F80608D" w14:textId="32E5A96A"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738" w:type="dxa"/>
          </w:tcPr>
          <w:p w14:paraId="7254B837" w14:textId="77777777"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01DB7FAB" w14:textId="57339E82"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1C612E79" w14:textId="5145E7D4"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680" w:type="dxa"/>
          </w:tcPr>
          <w:p w14:paraId="57408AAF" w14:textId="77777777"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681" w:type="dxa"/>
          </w:tcPr>
          <w:p w14:paraId="6215344A" w14:textId="77777777"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680" w:type="dxa"/>
          </w:tcPr>
          <w:p w14:paraId="6283D71E" w14:textId="77777777"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76E08ABD" w14:textId="77777777" w:rsidR="000412C6" w:rsidRPr="001D6947" w:rsidRDefault="000412C6" w:rsidP="000412C6">
            <w:pPr>
              <w:pStyle w:val="Tabelid"/>
              <w:jc w:val="right"/>
              <w:cnfStyle w:val="000000000000" w:firstRow="0" w:lastRow="0" w:firstColumn="0" w:lastColumn="0" w:oddVBand="0" w:evenVBand="0" w:oddHBand="0" w:evenHBand="0" w:firstRowFirstColumn="0" w:firstRowLastColumn="0" w:lastRowFirstColumn="0" w:lastRowLastColumn="0"/>
            </w:pPr>
          </w:p>
        </w:tc>
      </w:tr>
      <w:tr w:rsidR="00BF1D2E" w:rsidRPr="001D6947" w14:paraId="6AC976A2"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436506FF" w14:textId="3BA9FC58" w:rsidR="00BF1D2E" w:rsidRPr="001D6947" w:rsidRDefault="00BF1D2E" w:rsidP="00BF1D2E">
            <w:pPr>
              <w:pStyle w:val="Tabelid"/>
              <w:rPr>
                <w:iCs/>
              </w:rPr>
            </w:pPr>
            <w:r w:rsidRPr="001D6947">
              <w:rPr>
                <w:iCs/>
              </w:rPr>
              <w:t>12. Maksutulud (12=12a+12b+12c)</w:t>
            </w:r>
          </w:p>
        </w:tc>
        <w:tc>
          <w:tcPr>
            <w:tcW w:w="1103" w:type="dxa"/>
          </w:tcPr>
          <w:p w14:paraId="7531907A" w14:textId="2727D36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7 639,0</w:t>
            </w:r>
          </w:p>
        </w:tc>
        <w:tc>
          <w:tcPr>
            <w:tcW w:w="800" w:type="dxa"/>
          </w:tcPr>
          <w:p w14:paraId="2FB80CAA" w14:textId="3B9DB4C7" w:rsidR="00BF1D2E" w:rsidRPr="001D6947" w:rsidRDefault="008536BA" w:rsidP="00BF1D2E">
            <w:pPr>
              <w:pStyle w:val="Tabelid"/>
              <w:jc w:val="right"/>
              <w:cnfStyle w:val="000000100000" w:firstRow="0" w:lastRow="0" w:firstColumn="0" w:lastColumn="0" w:oddVBand="0" w:evenVBand="0" w:oddHBand="1" w:evenHBand="0" w:firstRowFirstColumn="0" w:firstRowLastColumn="0" w:lastRowFirstColumn="0" w:lastRowLastColumn="0"/>
            </w:pPr>
            <w:r>
              <w:t>21,2</w:t>
            </w:r>
          </w:p>
        </w:tc>
        <w:tc>
          <w:tcPr>
            <w:tcW w:w="676" w:type="dxa"/>
          </w:tcPr>
          <w:p w14:paraId="7606D31A" w14:textId="69818C6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21,0</w:t>
            </w:r>
          </w:p>
        </w:tc>
        <w:tc>
          <w:tcPr>
            <w:tcW w:w="738" w:type="dxa"/>
          </w:tcPr>
          <w:p w14:paraId="30B24261" w14:textId="76EF6F9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21,8</w:t>
            </w:r>
          </w:p>
        </w:tc>
        <w:tc>
          <w:tcPr>
            <w:tcW w:w="676" w:type="dxa"/>
          </w:tcPr>
          <w:p w14:paraId="6BF737B1" w14:textId="3D75201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21,2</w:t>
            </w:r>
          </w:p>
        </w:tc>
        <w:tc>
          <w:tcPr>
            <w:tcW w:w="676" w:type="dxa"/>
          </w:tcPr>
          <w:p w14:paraId="095310F0" w14:textId="1E444F0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21,3</w:t>
            </w:r>
          </w:p>
        </w:tc>
        <w:tc>
          <w:tcPr>
            <w:tcW w:w="680" w:type="dxa"/>
          </w:tcPr>
          <w:p w14:paraId="52BD7CFC" w14:textId="0AD2042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21,4</w:t>
            </w:r>
          </w:p>
        </w:tc>
        <w:tc>
          <w:tcPr>
            <w:tcW w:w="681" w:type="dxa"/>
          </w:tcPr>
          <w:p w14:paraId="4A70B96C" w14:textId="62A0F35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20,3</w:t>
            </w:r>
          </w:p>
        </w:tc>
        <w:tc>
          <w:tcPr>
            <w:tcW w:w="680" w:type="dxa"/>
          </w:tcPr>
          <w:p w14:paraId="618630F6" w14:textId="5D367AF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20,7</w:t>
            </w:r>
          </w:p>
        </w:tc>
        <w:tc>
          <w:tcPr>
            <w:tcW w:w="676" w:type="dxa"/>
          </w:tcPr>
          <w:p w14:paraId="74112734" w14:textId="74FF45E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20,5</w:t>
            </w:r>
          </w:p>
        </w:tc>
      </w:tr>
      <w:tr w:rsidR="00BF1D2E" w:rsidRPr="001D6947" w14:paraId="3821CF8D"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4DD92760" w14:textId="218388DC" w:rsidR="00BF1D2E" w:rsidRPr="001D6947" w:rsidRDefault="00BF1D2E" w:rsidP="00BF1D2E">
            <w:pPr>
              <w:pStyle w:val="Tabelid"/>
              <w:rPr>
                <w:iCs/>
              </w:rPr>
            </w:pPr>
            <w:r w:rsidRPr="001D6947">
              <w:rPr>
                <w:iCs/>
              </w:rPr>
              <w:t>12a. Tootmis- ja impordimaksud</w:t>
            </w:r>
          </w:p>
        </w:tc>
        <w:tc>
          <w:tcPr>
            <w:tcW w:w="1103" w:type="dxa"/>
          </w:tcPr>
          <w:p w14:paraId="25EF386D" w14:textId="2CFBF2E0"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4 763,4</w:t>
            </w:r>
          </w:p>
        </w:tc>
        <w:tc>
          <w:tcPr>
            <w:tcW w:w="800" w:type="dxa"/>
          </w:tcPr>
          <w:p w14:paraId="716998A9" w14:textId="625FD4F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13,9</w:t>
            </w:r>
          </w:p>
        </w:tc>
        <w:tc>
          <w:tcPr>
            <w:tcW w:w="676" w:type="dxa"/>
          </w:tcPr>
          <w:p w14:paraId="152A2577" w14:textId="7A89755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13,3</w:t>
            </w:r>
          </w:p>
        </w:tc>
        <w:tc>
          <w:tcPr>
            <w:tcW w:w="738" w:type="dxa"/>
          </w:tcPr>
          <w:p w14:paraId="1584E68F" w14:textId="502D85C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13,4</w:t>
            </w:r>
          </w:p>
        </w:tc>
        <w:tc>
          <w:tcPr>
            <w:tcW w:w="676" w:type="dxa"/>
          </w:tcPr>
          <w:p w14:paraId="27E705AE" w14:textId="0246392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13,2</w:t>
            </w:r>
          </w:p>
        </w:tc>
        <w:tc>
          <w:tcPr>
            <w:tcW w:w="676" w:type="dxa"/>
          </w:tcPr>
          <w:p w14:paraId="0BAC8D39" w14:textId="74F39220"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13,2</w:t>
            </w:r>
          </w:p>
        </w:tc>
        <w:tc>
          <w:tcPr>
            <w:tcW w:w="680" w:type="dxa"/>
          </w:tcPr>
          <w:p w14:paraId="75B26EF0" w14:textId="29EF4AA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13,6</w:t>
            </w:r>
          </w:p>
        </w:tc>
        <w:tc>
          <w:tcPr>
            <w:tcW w:w="681" w:type="dxa"/>
          </w:tcPr>
          <w:p w14:paraId="5956E5F8" w14:textId="3C33AD3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13,4</w:t>
            </w:r>
          </w:p>
        </w:tc>
        <w:tc>
          <w:tcPr>
            <w:tcW w:w="680" w:type="dxa"/>
          </w:tcPr>
          <w:p w14:paraId="75C153CD" w14:textId="195EFFD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13,3</w:t>
            </w:r>
          </w:p>
        </w:tc>
        <w:tc>
          <w:tcPr>
            <w:tcW w:w="676" w:type="dxa"/>
          </w:tcPr>
          <w:p w14:paraId="14B8D137" w14:textId="5DDA5D0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13,2</w:t>
            </w:r>
          </w:p>
        </w:tc>
      </w:tr>
      <w:tr w:rsidR="00BF1D2E" w:rsidRPr="001D6947" w14:paraId="30DE950B"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04241EA1" w14:textId="09659F9B" w:rsidR="00BF1D2E" w:rsidRPr="001D6947" w:rsidRDefault="00BF1D2E" w:rsidP="00BF1D2E">
            <w:pPr>
              <w:pStyle w:val="Tabelid"/>
              <w:rPr>
                <w:iCs/>
              </w:rPr>
            </w:pPr>
            <w:r w:rsidRPr="001D6947">
              <w:rPr>
                <w:iCs/>
              </w:rPr>
              <w:t>12b. Sissetuleku- ja varanduse maksud</w:t>
            </w:r>
          </w:p>
        </w:tc>
        <w:tc>
          <w:tcPr>
            <w:tcW w:w="1103" w:type="dxa"/>
          </w:tcPr>
          <w:p w14:paraId="72DA7387" w14:textId="3C3E5F7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2 875,6</w:t>
            </w:r>
          </w:p>
        </w:tc>
        <w:tc>
          <w:tcPr>
            <w:tcW w:w="800" w:type="dxa"/>
          </w:tcPr>
          <w:p w14:paraId="10E4255F" w14:textId="78D59CA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7,3</w:t>
            </w:r>
          </w:p>
        </w:tc>
        <w:tc>
          <w:tcPr>
            <w:tcW w:w="676" w:type="dxa"/>
          </w:tcPr>
          <w:p w14:paraId="54BD5C14" w14:textId="4D28291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7,7</w:t>
            </w:r>
          </w:p>
        </w:tc>
        <w:tc>
          <w:tcPr>
            <w:tcW w:w="738" w:type="dxa"/>
          </w:tcPr>
          <w:p w14:paraId="24D7970A" w14:textId="1C76DC3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8,4</w:t>
            </w:r>
          </w:p>
        </w:tc>
        <w:tc>
          <w:tcPr>
            <w:tcW w:w="676" w:type="dxa"/>
          </w:tcPr>
          <w:p w14:paraId="5CD0F1C4" w14:textId="7354957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8,0</w:t>
            </w:r>
          </w:p>
        </w:tc>
        <w:tc>
          <w:tcPr>
            <w:tcW w:w="676" w:type="dxa"/>
          </w:tcPr>
          <w:p w14:paraId="3D8551F6" w14:textId="476C6AD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8,1</w:t>
            </w:r>
          </w:p>
        </w:tc>
        <w:tc>
          <w:tcPr>
            <w:tcW w:w="680" w:type="dxa"/>
          </w:tcPr>
          <w:p w14:paraId="3EA61838" w14:textId="5A4A583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7,8</w:t>
            </w:r>
          </w:p>
        </w:tc>
        <w:tc>
          <w:tcPr>
            <w:tcW w:w="681" w:type="dxa"/>
          </w:tcPr>
          <w:p w14:paraId="04FBEB9F" w14:textId="7445C1D9"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6,9</w:t>
            </w:r>
          </w:p>
        </w:tc>
        <w:tc>
          <w:tcPr>
            <w:tcW w:w="680" w:type="dxa"/>
          </w:tcPr>
          <w:p w14:paraId="4F8AECFB" w14:textId="05520820"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7,4</w:t>
            </w:r>
          </w:p>
        </w:tc>
        <w:tc>
          <w:tcPr>
            <w:tcW w:w="676" w:type="dxa"/>
          </w:tcPr>
          <w:p w14:paraId="1FB23832" w14:textId="3D2352C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7,3</w:t>
            </w:r>
          </w:p>
        </w:tc>
      </w:tr>
      <w:tr w:rsidR="00BF1D2E" w:rsidRPr="001D6947" w14:paraId="591FB317"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660888B5" w14:textId="2DF94F2A" w:rsidR="00BF1D2E" w:rsidRPr="001D6947" w:rsidRDefault="00BF1D2E" w:rsidP="00BF1D2E">
            <w:pPr>
              <w:pStyle w:val="Tabelid"/>
              <w:rPr>
                <w:iCs/>
              </w:rPr>
            </w:pPr>
            <w:r w:rsidRPr="001D6947">
              <w:rPr>
                <w:iCs/>
              </w:rPr>
              <w:t>12c. Kapitalimaksud</w:t>
            </w:r>
          </w:p>
        </w:tc>
        <w:tc>
          <w:tcPr>
            <w:tcW w:w="1103" w:type="dxa"/>
          </w:tcPr>
          <w:p w14:paraId="22878867" w14:textId="4252744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0,0</w:t>
            </w:r>
          </w:p>
        </w:tc>
        <w:tc>
          <w:tcPr>
            <w:tcW w:w="800" w:type="dxa"/>
          </w:tcPr>
          <w:p w14:paraId="4052224F" w14:textId="311D0F0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0,0</w:t>
            </w:r>
          </w:p>
        </w:tc>
        <w:tc>
          <w:tcPr>
            <w:tcW w:w="676" w:type="dxa"/>
          </w:tcPr>
          <w:p w14:paraId="45E6945B" w14:textId="32FB24F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c>
          <w:tcPr>
            <w:tcW w:w="738" w:type="dxa"/>
          </w:tcPr>
          <w:p w14:paraId="4D49A5CC" w14:textId="1B8CC92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c>
          <w:tcPr>
            <w:tcW w:w="676" w:type="dxa"/>
          </w:tcPr>
          <w:p w14:paraId="2F793E4C" w14:textId="3409857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c>
          <w:tcPr>
            <w:tcW w:w="676" w:type="dxa"/>
          </w:tcPr>
          <w:p w14:paraId="4A71A21A" w14:textId="173A2A0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c>
          <w:tcPr>
            <w:tcW w:w="680" w:type="dxa"/>
          </w:tcPr>
          <w:p w14:paraId="0464AE91" w14:textId="1EA3CA9E"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c>
          <w:tcPr>
            <w:tcW w:w="681" w:type="dxa"/>
          </w:tcPr>
          <w:p w14:paraId="2589B277" w14:textId="101B892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c>
          <w:tcPr>
            <w:tcW w:w="680" w:type="dxa"/>
          </w:tcPr>
          <w:p w14:paraId="2E904524" w14:textId="4818493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c>
          <w:tcPr>
            <w:tcW w:w="676" w:type="dxa"/>
          </w:tcPr>
          <w:p w14:paraId="6FB93B9C" w14:textId="7F111DF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w:t>
            </w:r>
          </w:p>
        </w:tc>
      </w:tr>
      <w:tr w:rsidR="00BF1D2E" w:rsidRPr="001D6947" w14:paraId="59E818CF"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30265C1D" w14:textId="3BB8B810" w:rsidR="00BF1D2E" w:rsidRPr="001D6947" w:rsidRDefault="00BF1D2E" w:rsidP="00BF1D2E">
            <w:pPr>
              <w:pStyle w:val="Tabelid"/>
              <w:rPr>
                <w:iCs/>
              </w:rPr>
            </w:pPr>
            <w:r w:rsidRPr="001D6947">
              <w:rPr>
                <w:iCs/>
              </w:rPr>
              <w:t>13. Sotsiaalkindlustusmaksed</w:t>
            </w:r>
          </w:p>
        </w:tc>
        <w:tc>
          <w:tcPr>
            <w:tcW w:w="1103" w:type="dxa"/>
          </w:tcPr>
          <w:p w14:paraId="47984A18" w14:textId="6713A0C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4 228,0</w:t>
            </w:r>
          </w:p>
        </w:tc>
        <w:tc>
          <w:tcPr>
            <w:tcW w:w="800" w:type="dxa"/>
          </w:tcPr>
          <w:p w14:paraId="1C5D7E00" w14:textId="4488783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11,5</w:t>
            </w:r>
          </w:p>
        </w:tc>
        <w:tc>
          <w:tcPr>
            <w:tcW w:w="676" w:type="dxa"/>
          </w:tcPr>
          <w:p w14:paraId="6D2DF615" w14:textId="76B1500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12,5</w:t>
            </w:r>
          </w:p>
        </w:tc>
        <w:tc>
          <w:tcPr>
            <w:tcW w:w="738" w:type="dxa"/>
          </w:tcPr>
          <w:p w14:paraId="1670D173" w14:textId="3471E74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12,0</w:t>
            </w:r>
          </w:p>
        </w:tc>
        <w:tc>
          <w:tcPr>
            <w:tcW w:w="676" w:type="dxa"/>
          </w:tcPr>
          <w:p w14:paraId="162B8D60" w14:textId="3536B3B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11,7</w:t>
            </w:r>
          </w:p>
        </w:tc>
        <w:tc>
          <w:tcPr>
            <w:tcW w:w="676" w:type="dxa"/>
          </w:tcPr>
          <w:p w14:paraId="3E61021F" w14:textId="485E1939"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12,1</w:t>
            </w:r>
          </w:p>
        </w:tc>
        <w:tc>
          <w:tcPr>
            <w:tcW w:w="680" w:type="dxa"/>
          </w:tcPr>
          <w:p w14:paraId="2A9B33B5" w14:textId="0D8EFEA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12,2</w:t>
            </w:r>
          </w:p>
        </w:tc>
        <w:tc>
          <w:tcPr>
            <w:tcW w:w="681" w:type="dxa"/>
          </w:tcPr>
          <w:p w14:paraId="1F1B756E" w14:textId="2E587DB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12,2</w:t>
            </w:r>
          </w:p>
        </w:tc>
        <w:tc>
          <w:tcPr>
            <w:tcW w:w="680" w:type="dxa"/>
          </w:tcPr>
          <w:p w14:paraId="7B74CC28" w14:textId="69C87DA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12,3</w:t>
            </w:r>
          </w:p>
        </w:tc>
        <w:tc>
          <w:tcPr>
            <w:tcW w:w="676" w:type="dxa"/>
          </w:tcPr>
          <w:p w14:paraId="4AC91A82" w14:textId="7F375E30"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12,3</w:t>
            </w:r>
          </w:p>
        </w:tc>
      </w:tr>
      <w:tr w:rsidR="00BF1D2E" w:rsidRPr="001D6947" w14:paraId="11FE1072"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380CB0AA" w14:textId="306FC8B4" w:rsidR="00BF1D2E" w:rsidRPr="001D6947" w:rsidRDefault="00BF1D2E" w:rsidP="00BF1D2E">
            <w:pPr>
              <w:pStyle w:val="Tabelid"/>
              <w:rPr>
                <w:iCs/>
              </w:rPr>
            </w:pPr>
            <w:r w:rsidRPr="001D6947">
              <w:rPr>
                <w:iCs/>
              </w:rPr>
              <w:t>14. Omanditulud</w:t>
            </w:r>
          </w:p>
        </w:tc>
        <w:tc>
          <w:tcPr>
            <w:tcW w:w="1103" w:type="dxa"/>
          </w:tcPr>
          <w:p w14:paraId="3ACEB40C" w14:textId="2ECD9DC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282,0</w:t>
            </w:r>
          </w:p>
        </w:tc>
        <w:tc>
          <w:tcPr>
            <w:tcW w:w="800" w:type="dxa"/>
          </w:tcPr>
          <w:p w14:paraId="2111F418" w14:textId="32F0CE1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1,0</w:t>
            </w:r>
          </w:p>
        </w:tc>
        <w:tc>
          <w:tcPr>
            <w:tcW w:w="676" w:type="dxa"/>
          </w:tcPr>
          <w:p w14:paraId="07C08E2E" w14:textId="566C173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0,7</w:t>
            </w:r>
          </w:p>
        </w:tc>
        <w:tc>
          <w:tcPr>
            <w:tcW w:w="738" w:type="dxa"/>
          </w:tcPr>
          <w:p w14:paraId="400667A1" w14:textId="684323F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676" w:type="dxa"/>
          </w:tcPr>
          <w:p w14:paraId="3DCD46DB" w14:textId="0560C4E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0,8</w:t>
            </w:r>
          </w:p>
        </w:tc>
        <w:tc>
          <w:tcPr>
            <w:tcW w:w="676" w:type="dxa"/>
          </w:tcPr>
          <w:p w14:paraId="57C0FC55" w14:textId="12914F9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0,9</w:t>
            </w:r>
          </w:p>
        </w:tc>
        <w:tc>
          <w:tcPr>
            <w:tcW w:w="680" w:type="dxa"/>
          </w:tcPr>
          <w:p w14:paraId="219D2425" w14:textId="7771110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0,7</w:t>
            </w:r>
          </w:p>
        </w:tc>
        <w:tc>
          <w:tcPr>
            <w:tcW w:w="681" w:type="dxa"/>
          </w:tcPr>
          <w:p w14:paraId="24805C0F" w14:textId="0DCE0CB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680" w:type="dxa"/>
          </w:tcPr>
          <w:p w14:paraId="6B588343" w14:textId="64EBB770"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0,9</w:t>
            </w:r>
          </w:p>
        </w:tc>
        <w:tc>
          <w:tcPr>
            <w:tcW w:w="676" w:type="dxa"/>
          </w:tcPr>
          <w:p w14:paraId="3DB09D0C" w14:textId="2C403A9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0,9</w:t>
            </w:r>
          </w:p>
        </w:tc>
      </w:tr>
      <w:tr w:rsidR="00BF1D2E" w:rsidRPr="001D6947" w14:paraId="06B45DB2" w14:textId="77777777" w:rsidTr="00F96357">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5AC9990A" w14:textId="0A587A7D" w:rsidR="00BF1D2E" w:rsidRPr="001D6947" w:rsidRDefault="00BF1D2E" w:rsidP="00BF1D2E">
            <w:pPr>
              <w:pStyle w:val="Tabelid"/>
              <w:rPr>
                <w:iCs/>
              </w:rPr>
            </w:pPr>
            <w:r w:rsidRPr="001D6947">
              <w:rPr>
                <w:iCs/>
              </w:rPr>
              <w:t>15. Muud tulud</w:t>
            </w:r>
          </w:p>
        </w:tc>
        <w:tc>
          <w:tcPr>
            <w:tcW w:w="1103" w:type="dxa"/>
          </w:tcPr>
          <w:p w14:paraId="2D1AD0A5" w14:textId="5C51342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1 782,7</w:t>
            </w:r>
          </w:p>
        </w:tc>
        <w:tc>
          <w:tcPr>
            <w:tcW w:w="800" w:type="dxa"/>
          </w:tcPr>
          <w:p w14:paraId="23391529" w14:textId="665283C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5,2</w:t>
            </w:r>
          </w:p>
        </w:tc>
        <w:tc>
          <w:tcPr>
            <w:tcW w:w="676" w:type="dxa"/>
          </w:tcPr>
          <w:p w14:paraId="0C1809FB" w14:textId="4C4C73E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5,3</w:t>
            </w:r>
          </w:p>
        </w:tc>
        <w:tc>
          <w:tcPr>
            <w:tcW w:w="738" w:type="dxa"/>
          </w:tcPr>
          <w:p w14:paraId="4AC1FB27" w14:textId="2B2ADF3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5,1</w:t>
            </w:r>
          </w:p>
        </w:tc>
        <w:tc>
          <w:tcPr>
            <w:tcW w:w="676" w:type="dxa"/>
          </w:tcPr>
          <w:p w14:paraId="0EBE51EE" w14:textId="13A7F45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5,0</w:t>
            </w:r>
          </w:p>
        </w:tc>
        <w:tc>
          <w:tcPr>
            <w:tcW w:w="676" w:type="dxa"/>
          </w:tcPr>
          <w:p w14:paraId="56A6BFAB" w14:textId="42E6ECD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5,4</w:t>
            </w:r>
          </w:p>
        </w:tc>
        <w:tc>
          <w:tcPr>
            <w:tcW w:w="680" w:type="dxa"/>
          </w:tcPr>
          <w:p w14:paraId="5613F876" w14:textId="5AEB16D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5,3</w:t>
            </w:r>
          </w:p>
        </w:tc>
        <w:tc>
          <w:tcPr>
            <w:tcW w:w="681" w:type="dxa"/>
          </w:tcPr>
          <w:p w14:paraId="572FA294" w14:textId="1BCDF7E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5,1</w:t>
            </w:r>
          </w:p>
        </w:tc>
        <w:tc>
          <w:tcPr>
            <w:tcW w:w="680" w:type="dxa"/>
          </w:tcPr>
          <w:p w14:paraId="597CEE31" w14:textId="4013A4A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4,7</w:t>
            </w:r>
          </w:p>
        </w:tc>
        <w:tc>
          <w:tcPr>
            <w:tcW w:w="676" w:type="dxa"/>
          </w:tcPr>
          <w:p w14:paraId="28CAB341" w14:textId="63F8D0E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4,0</w:t>
            </w:r>
          </w:p>
        </w:tc>
      </w:tr>
      <w:tr w:rsidR="00BF1D2E" w:rsidRPr="001D6947" w14:paraId="032D97F4" w14:textId="77777777" w:rsidTr="00F96357">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507B313C" w14:textId="4D20E591" w:rsidR="00BF1D2E" w:rsidRPr="001D6947" w:rsidRDefault="00BF1D2E" w:rsidP="00BF1D2E">
            <w:pPr>
              <w:pStyle w:val="Tabelid"/>
              <w:rPr>
                <w:iCs/>
              </w:rPr>
            </w:pPr>
            <w:r w:rsidRPr="001D6947">
              <w:rPr>
                <w:iCs/>
              </w:rPr>
              <w:t>16.=6. Tulud kokku</w:t>
            </w:r>
          </w:p>
        </w:tc>
        <w:tc>
          <w:tcPr>
            <w:tcW w:w="1103" w:type="dxa"/>
          </w:tcPr>
          <w:p w14:paraId="6D2D1045" w14:textId="1252ECD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13 931,7</w:t>
            </w:r>
          </w:p>
        </w:tc>
        <w:tc>
          <w:tcPr>
            <w:tcW w:w="800" w:type="dxa"/>
          </w:tcPr>
          <w:p w14:paraId="376F5F7E" w14:textId="00ED5A6E"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38,9</w:t>
            </w:r>
          </w:p>
        </w:tc>
        <w:tc>
          <w:tcPr>
            <w:tcW w:w="676" w:type="dxa"/>
          </w:tcPr>
          <w:p w14:paraId="6B3B55C3" w14:textId="0F893C2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39,5</w:t>
            </w:r>
          </w:p>
        </w:tc>
        <w:tc>
          <w:tcPr>
            <w:tcW w:w="738" w:type="dxa"/>
          </w:tcPr>
          <w:p w14:paraId="67959C3B" w14:textId="7FD13E9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39,4</w:t>
            </w:r>
          </w:p>
        </w:tc>
        <w:tc>
          <w:tcPr>
            <w:tcW w:w="676" w:type="dxa"/>
          </w:tcPr>
          <w:p w14:paraId="2CBA1726" w14:textId="42DA5AEA"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38,7</w:t>
            </w:r>
          </w:p>
        </w:tc>
        <w:tc>
          <w:tcPr>
            <w:tcW w:w="676" w:type="dxa"/>
          </w:tcPr>
          <w:p w14:paraId="62EA369D" w14:textId="6F6DAB6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39,8</w:t>
            </w:r>
          </w:p>
        </w:tc>
        <w:tc>
          <w:tcPr>
            <w:tcW w:w="680" w:type="dxa"/>
          </w:tcPr>
          <w:p w14:paraId="4E3E1A72" w14:textId="555935D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39,6</w:t>
            </w:r>
          </w:p>
        </w:tc>
        <w:tc>
          <w:tcPr>
            <w:tcW w:w="681" w:type="dxa"/>
          </w:tcPr>
          <w:p w14:paraId="3F897975" w14:textId="20907D5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38,2</w:t>
            </w:r>
          </w:p>
        </w:tc>
        <w:tc>
          <w:tcPr>
            <w:tcW w:w="680" w:type="dxa"/>
          </w:tcPr>
          <w:p w14:paraId="18054284" w14:textId="61E0668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38,5</w:t>
            </w:r>
          </w:p>
        </w:tc>
        <w:tc>
          <w:tcPr>
            <w:tcW w:w="676" w:type="dxa"/>
          </w:tcPr>
          <w:p w14:paraId="1CD58098" w14:textId="67C6A5D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37,7</w:t>
            </w:r>
          </w:p>
        </w:tc>
      </w:tr>
      <w:tr w:rsidR="00BF1D2E" w:rsidRPr="001D6947" w14:paraId="67597262" w14:textId="77777777" w:rsidTr="005942C0">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072B24F7" w14:textId="2742FFDA" w:rsidR="00BF1D2E" w:rsidRPr="001D6947" w:rsidRDefault="00BF1D2E" w:rsidP="00BF1D2E">
            <w:pPr>
              <w:pStyle w:val="Tabelid"/>
              <w:rPr>
                <w:iCs/>
              </w:rPr>
            </w:pPr>
            <w:proofErr w:type="spellStart"/>
            <w:r w:rsidRPr="001D6947">
              <w:rPr>
                <w:iCs/>
              </w:rPr>
              <w:t>p.m</w:t>
            </w:r>
            <w:proofErr w:type="spellEnd"/>
            <w:r w:rsidRPr="001D6947">
              <w:rPr>
                <w:iCs/>
              </w:rPr>
              <w:t xml:space="preserve">.: Maksukoormus (D.2 (sh </w:t>
            </w:r>
            <w:proofErr w:type="spellStart"/>
            <w:r w:rsidRPr="001D6947">
              <w:rPr>
                <w:iCs/>
              </w:rPr>
              <w:t>EL-le</w:t>
            </w:r>
            <w:proofErr w:type="spellEnd"/>
            <w:r w:rsidRPr="001D6947">
              <w:rPr>
                <w:iCs/>
              </w:rPr>
              <w:t xml:space="preserve"> makstud)+D.5+D.611+D.91-D.995)</w:t>
            </w:r>
          </w:p>
        </w:tc>
        <w:tc>
          <w:tcPr>
            <w:tcW w:w="1103" w:type="dxa"/>
          </w:tcPr>
          <w:p w14:paraId="569654D9" w14:textId="2C16FD8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11 861,8</w:t>
            </w:r>
          </w:p>
        </w:tc>
        <w:tc>
          <w:tcPr>
            <w:tcW w:w="800" w:type="dxa"/>
          </w:tcPr>
          <w:p w14:paraId="48364A6B" w14:textId="55AE8CAD" w:rsidR="00BF1D2E" w:rsidRPr="001D6947" w:rsidRDefault="00BF1D2E" w:rsidP="00BF1D2E">
            <w:pPr>
              <w:pStyle w:val="Tabelid"/>
              <w:tabs>
                <w:tab w:val="left" w:pos="240"/>
              </w:tabs>
              <w:jc w:val="right"/>
              <w:cnfStyle w:val="000000100000" w:firstRow="0" w:lastRow="0" w:firstColumn="0" w:lastColumn="0" w:oddVBand="0" w:evenVBand="0" w:oddHBand="1" w:evenHBand="0" w:firstRowFirstColumn="0" w:firstRowLastColumn="0" w:lastRowFirstColumn="0" w:lastRowLastColumn="0"/>
            </w:pPr>
            <w:r w:rsidRPr="001D6947">
              <w:t>32,6</w:t>
            </w:r>
          </w:p>
        </w:tc>
        <w:tc>
          <w:tcPr>
            <w:tcW w:w="676" w:type="dxa"/>
          </w:tcPr>
          <w:p w14:paraId="240609C1" w14:textId="59AABEB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33,3</w:t>
            </w:r>
          </w:p>
        </w:tc>
        <w:tc>
          <w:tcPr>
            <w:tcW w:w="738" w:type="dxa"/>
          </w:tcPr>
          <w:p w14:paraId="5774B181" w14:textId="0A7927C9"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33,8</w:t>
            </w:r>
          </w:p>
        </w:tc>
        <w:tc>
          <w:tcPr>
            <w:tcW w:w="676" w:type="dxa"/>
          </w:tcPr>
          <w:p w14:paraId="56F7EF06" w14:textId="185787B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32,9</w:t>
            </w:r>
          </w:p>
        </w:tc>
        <w:tc>
          <w:tcPr>
            <w:tcW w:w="676" w:type="dxa"/>
          </w:tcPr>
          <w:p w14:paraId="337F7BE5" w14:textId="73697F5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33,3</w:t>
            </w:r>
          </w:p>
        </w:tc>
        <w:tc>
          <w:tcPr>
            <w:tcW w:w="680" w:type="dxa"/>
          </w:tcPr>
          <w:p w14:paraId="3CC0D353" w14:textId="4144B8F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33,4</w:t>
            </w:r>
          </w:p>
        </w:tc>
        <w:tc>
          <w:tcPr>
            <w:tcW w:w="681" w:type="dxa"/>
          </w:tcPr>
          <w:p w14:paraId="4C77F227" w14:textId="108D890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32,4</w:t>
            </w:r>
          </w:p>
        </w:tc>
        <w:tc>
          <w:tcPr>
            <w:tcW w:w="680" w:type="dxa"/>
          </w:tcPr>
          <w:p w14:paraId="30919FFB" w14:textId="493A86C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32,8</w:t>
            </w:r>
          </w:p>
        </w:tc>
        <w:tc>
          <w:tcPr>
            <w:tcW w:w="676" w:type="dxa"/>
          </w:tcPr>
          <w:p w14:paraId="5DB3238B" w14:textId="23E97BA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32,7</w:t>
            </w:r>
          </w:p>
        </w:tc>
      </w:tr>
      <w:tr w:rsidR="00FA7B41" w:rsidRPr="001D6947" w14:paraId="110B51B3" w14:textId="77777777" w:rsidTr="005942C0">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101B69E2" w14:textId="48F2E8B7" w:rsidR="00FA7B41" w:rsidRPr="001D6947" w:rsidRDefault="00FA7B41" w:rsidP="00FA7B41">
            <w:pPr>
              <w:pStyle w:val="Tabelid"/>
              <w:rPr>
                <w:iCs/>
              </w:rPr>
            </w:pPr>
            <w:r w:rsidRPr="001D6947">
              <w:rPr>
                <w:iCs/>
              </w:rPr>
              <w:t>Kulud komponentide lõikes</w:t>
            </w:r>
          </w:p>
        </w:tc>
        <w:tc>
          <w:tcPr>
            <w:tcW w:w="1103" w:type="dxa"/>
          </w:tcPr>
          <w:p w14:paraId="5ACFB016" w14:textId="77777777"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800" w:type="dxa"/>
          </w:tcPr>
          <w:p w14:paraId="3D293822" w14:textId="6041E3DE"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1B2A276F" w14:textId="65D1D019"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738" w:type="dxa"/>
          </w:tcPr>
          <w:p w14:paraId="1FE9982E" w14:textId="77777777"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20B520F4" w14:textId="32CA8F56"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1BB2938E" w14:textId="0099A0A9"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680" w:type="dxa"/>
          </w:tcPr>
          <w:p w14:paraId="2CD36FC6" w14:textId="77777777"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681" w:type="dxa"/>
          </w:tcPr>
          <w:p w14:paraId="4673D9D1" w14:textId="77777777"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680" w:type="dxa"/>
          </w:tcPr>
          <w:p w14:paraId="65780D6D" w14:textId="77777777"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c>
          <w:tcPr>
            <w:tcW w:w="676" w:type="dxa"/>
          </w:tcPr>
          <w:p w14:paraId="49A7FB05" w14:textId="77777777" w:rsidR="00FA7B41" w:rsidRPr="001D6947" w:rsidRDefault="00FA7B41" w:rsidP="00FA7B41">
            <w:pPr>
              <w:pStyle w:val="Tabelid"/>
              <w:jc w:val="right"/>
              <w:cnfStyle w:val="000000000000" w:firstRow="0" w:lastRow="0" w:firstColumn="0" w:lastColumn="0" w:oddVBand="0" w:evenVBand="0" w:oddHBand="0" w:evenHBand="0" w:firstRowFirstColumn="0" w:firstRowLastColumn="0" w:lastRowFirstColumn="0" w:lastRowLastColumn="0"/>
            </w:pPr>
          </w:p>
        </w:tc>
      </w:tr>
      <w:tr w:rsidR="00BF1D2E" w:rsidRPr="001D6947" w14:paraId="07AD9D11" w14:textId="77777777" w:rsidTr="00DC2E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6D8610E3" w14:textId="762EF81C" w:rsidR="00BF1D2E" w:rsidRPr="001D6947" w:rsidRDefault="00BF1D2E" w:rsidP="00BF1D2E">
            <w:pPr>
              <w:pStyle w:val="Tabelid"/>
              <w:rPr>
                <w:iCs/>
              </w:rPr>
            </w:pPr>
            <w:r w:rsidRPr="001D6947">
              <w:rPr>
                <w:iCs/>
              </w:rPr>
              <w:t>17. Hüvitised töötajatele +vahetarbimine</w:t>
            </w:r>
          </w:p>
        </w:tc>
        <w:tc>
          <w:tcPr>
            <w:tcW w:w="1103" w:type="dxa"/>
          </w:tcPr>
          <w:p w14:paraId="49160C34" w14:textId="0DA3938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 xml:space="preserve"> 6 087,3   </w:t>
            </w:r>
          </w:p>
        </w:tc>
        <w:tc>
          <w:tcPr>
            <w:tcW w:w="800" w:type="dxa"/>
          </w:tcPr>
          <w:p w14:paraId="5445E1F9" w14:textId="3FE3758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17,</w:t>
            </w:r>
            <w:r w:rsidR="0093757F">
              <w:t>0</w:t>
            </w:r>
          </w:p>
        </w:tc>
        <w:tc>
          <w:tcPr>
            <w:tcW w:w="676" w:type="dxa"/>
          </w:tcPr>
          <w:p w14:paraId="5F967921" w14:textId="07CA9BC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18,1</w:t>
            </w:r>
          </w:p>
        </w:tc>
        <w:tc>
          <w:tcPr>
            <w:tcW w:w="738" w:type="dxa"/>
          </w:tcPr>
          <w:p w14:paraId="4A3C5B3E" w14:textId="02DF94A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17,3</w:t>
            </w:r>
          </w:p>
        </w:tc>
        <w:tc>
          <w:tcPr>
            <w:tcW w:w="676" w:type="dxa"/>
          </w:tcPr>
          <w:p w14:paraId="1569131B" w14:textId="6B6F94D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16,9</w:t>
            </w:r>
          </w:p>
        </w:tc>
        <w:tc>
          <w:tcPr>
            <w:tcW w:w="676" w:type="dxa"/>
          </w:tcPr>
          <w:p w14:paraId="5922ACB3" w14:textId="6B2D943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18,7</w:t>
            </w:r>
          </w:p>
        </w:tc>
        <w:tc>
          <w:tcPr>
            <w:tcW w:w="680" w:type="dxa"/>
          </w:tcPr>
          <w:p w14:paraId="2248445E" w14:textId="2EFB8AA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18,1</w:t>
            </w:r>
          </w:p>
        </w:tc>
        <w:tc>
          <w:tcPr>
            <w:tcW w:w="681" w:type="dxa"/>
          </w:tcPr>
          <w:p w14:paraId="49738EDC" w14:textId="05B4954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17,8</w:t>
            </w:r>
          </w:p>
        </w:tc>
        <w:tc>
          <w:tcPr>
            <w:tcW w:w="680" w:type="dxa"/>
          </w:tcPr>
          <w:p w14:paraId="713C570D" w14:textId="68D460B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17,3</w:t>
            </w:r>
          </w:p>
        </w:tc>
        <w:tc>
          <w:tcPr>
            <w:tcW w:w="676" w:type="dxa"/>
          </w:tcPr>
          <w:p w14:paraId="32E4725A" w14:textId="105B306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17,3</w:t>
            </w:r>
          </w:p>
        </w:tc>
      </w:tr>
      <w:tr w:rsidR="00BF1D2E" w:rsidRPr="001D6947" w14:paraId="12E02D3D" w14:textId="77777777" w:rsidTr="00DC2EB2">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2A6F4881" w14:textId="70E3321C" w:rsidR="00BF1D2E" w:rsidRPr="001D6947" w:rsidRDefault="00BF1D2E" w:rsidP="00BF1D2E">
            <w:pPr>
              <w:pStyle w:val="Tabelid"/>
              <w:rPr>
                <w:iCs/>
              </w:rPr>
            </w:pPr>
            <w:r w:rsidRPr="001D6947">
              <w:rPr>
                <w:iCs/>
              </w:rPr>
              <w:t>17a. Hüvitised töötajatele</w:t>
            </w:r>
          </w:p>
        </w:tc>
        <w:tc>
          <w:tcPr>
            <w:tcW w:w="1103" w:type="dxa"/>
          </w:tcPr>
          <w:p w14:paraId="201D4CBF" w14:textId="2C89D8D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 xml:space="preserve"> 3 758,4   </w:t>
            </w:r>
          </w:p>
        </w:tc>
        <w:tc>
          <w:tcPr>
            <w:tcW w:w="800" w:type="dxa"/>
          </w:tcPr>
          <w:p w14:paraId="13707347" w14:textId="2A73472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10,5</w:t>
            </w:r>
          </w:p>
        </w:tc>
        <w:tc>
          <w:tcPr>
            <w:tcW w:w="676" w:type="dxa"/>
          </w:tcPr>
          <w:p w14:paraId="01D4A475" w14:textId="18E70A9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11,8</w:t>
            </w:r>
          </w:p>
        </w:tc>
        <w:tc>
          <w:tcPr>
            <w:tcW w:w="738" w:type="dxa"/>
          </w:tcPr>
          <w:p w14:paraId="76A92421" w14:textId="6BEDF36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11,0</w:t>
            </w:r>
          </w:p>
        </w:tc>
        <w:tc>
          <w:tcPr>
            <w:tcW w:w="676" w:type="dxa"/>
          </w:tcPr>
          <w:p w14:paraId="7DD15BE2" w14:textId="10BBC25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10,4</w:t>
            </w:r>
          </w:p>
        </w:tc>
        <w:tc>
          <w:tcPr>
            <w:tcW w:w="676" w:type="dxa"/>
          </w:tcPr>
          <w:p w14:paraId="6C9D4B5C" w14:textId="5026932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11,4</w:t>
            </w:r>
          </w:p>
        </w:tc>
        <w:tc>
          <w:tcPr>
            <w:tcW w:w="680" w:type="dxa"/>
          </w:tcPr>
          <w:p w14:paraId="6960FCAC" w14:textId="6C14AE5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11,2</w:t>
            </w:r>
          </w:p>
        </w:tc>
        <w:tc>
          <w:tcPr>
            <w:tcW w:w="681" w:type="dxa"/>
          </w:tcPr>
          <w:p w14:paraId="48CA3876" w14:textId="2EF5286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11,0</w:t>
            </w:r>
          </w:p>
        </w:tc>
        <w:tc>
          <w:tcPr>
            <w:tcW w:w="680" w:type="dxa"/>
          </w:tcPr>
          <w:p w14:paraId="10E4E8E0" w14:textId="7A71C680"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10,9</w:t>
            </w:r>
          </w:p>
        </w:tc>
        <w:tc>
          <w:tcPr>
            <w:tcW w:w="676" w:type="dxa"/>
          </w:tcPr>
          <w:p w14:paraId="38C6A354" w14:textId="181543D0"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10,8</w:t>
            </w:r>
          </w:p>
        </w:tc>
      </w:tr>
      <w:tr w:rsidR="00BF1D2E" w:rsidRPr="001D6947" w14:paraId="270E080A" w14:textId="77777777" w:rsidTr="00DC2E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3D3448B0" w14:textId="24AA29E7" w:rsidR="00BF1D2E" w:rsidRPr="001D6947" w:rsidRDefault="00BF1D2E" w:rsidP="00BF1D2E">
            <w:pPr>
              <w:pStyle w:val="Tabelid"/>
              <w:rPr>
                <w:iCs/>
              </w:rPr>
            </w:pPr>
            <w:r w:rsidRPr="001D6947">
              <w:rPr>
                <w:iCs/>
              </w:rPr>
              <w:t>17b. Vahetarbimine</w:t>
            </w:r>
          </w:p>
        </w:tc>
        <w:tc>
          <w:tcPr>
            <w:tcW w:w="1103" w:type="dxa"/>
          </w:tcPr>
          <w:p w14:paraId="274B6807" w14:textId="0F6CDEB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 xml:space="preserve"> 2 328,9   </w:t>
            </w:r>
          </w:p>
        </w:tc>
        <w:tc>
          <w:tcPr>
            <w:tcW w:w="800" w:type="dxa"/>
          </w:tcPr>
          <w:p w14:paraId="022826A7" w14:textId="55F7703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6,6</w:t>
            </w:r>
          </w:p>
        </w:tc>
        <w:tc>
          <w:tcPr>
            <w:tcW w:w="676" w:type="dxa"/>
          </w:tcPr>
          <w:p w14:paraId="3A0FCC55" w14:textId="1946010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6,4</w:t>
            </w:r>
          </w:p>
        </w:tc>
        <w:tc>
          <w:tcPr>
            <w:tcW w:w="738" w:type="dxa"/>
          </w:tcPr>
          <w:p w14:paraId="00C3D91B" w14:textId="258F596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6,3</w:t>
            </w:r>
          </w:p>
        </w:tc>
        <w:tc>
          <w:tcPr>
            <w:tcW w:w="676" w:type="dxa"/>
          </w:tcPr>
          <w:p w14:paraId="2F5A92CF" w14:textId="4C86E13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6,5</w:t>
            </w:r>
          </w:p>
        </w:tc>
        <w:tc>
          <w:tcPr>
            <w:tcW w:w="676" w:type="dxa"/>
          </w:tcPr>
          <w:p w14:paraId="2A9EDAC2" w14:textId="0912CAF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7,3</w:t>
            </w:r>
          </w:p>
        </w:tc>
        <w:tc>
          <w:tcPr>
            <w:tcW w:w="680" w:type="dxa"/>
          </w:tcPr>
          <w:p w14:paraId="2B3B17E0" w14:textId="2C7CE90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7,0</w:t>
            </w:r>
          </w:p>
        </w:tc>
        <w:tc>
          <w:tcPr>
            <w:tcW w:w="681" w:type="dxa"/>
          </w:tcPr>
          <w:p w14:paraId="150FA639" w14:textId="15B8DC8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6,8</w:t>
            </w:r>
          </w:p>
        </w:tc>
        <w:tc>
          <w:tcPr>
            <w:tcW w:w="680" w:type="dxa"/>
          </w:tcPr>
          <w:p w14:paraId="146894E1" w14:textId="78714DF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6,4</w:t>
            </w:r>
          </w:p>
        </w:tc>
        <w:tc>
          <w:tcPr>
            <w:tcW w:w="676" w:type="dxa"/>
          </w:tcPr>
          <w:p w14:paraId="0B2429BF" w14:textId="7EB693BC"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6,5</w:t>
            </w:r>
          </w:p>
        </w:tc>
      </w:tr>
      <w:tr w:rsidR="00BF1D2E" w:rsidRPr="001D6947" w14:paraId="3CE5953C" w14:textId="77777777" w:rsidTr="00DC2EB2">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605740DF" w14:textId="07CB49F6" w:rsidR="00BF1D2E" w:rsidRPr="001D6947" w:rsidRDefault="00BF1D2E" w:rsidP="00BF1D2E">
            <w:pPr>
              <w:pStyle w:val="Tabelid"/>
              <w:rPr>
                <w:iCs/>
              </w:rPr>
            </w:pPr>
            <w:r w:rsidRPr="001D6947">
              <w:rPr>
                <w:iCs/>
              </w:rPr>
              <w:t>18. Sotsiaalsiirded (18=18a+18b)</w:t>
            </w:r>
          </w:p>
        </w:tc>
        <w:tc>
          <w:tcPr>
            <w:tcW w:w="1103" w:type="dxa"/>
          </w:tcPr>
          <w:p w14:paraId="1B998AAD" w14:textId="1F70F6D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 xml:space="preserve"> 5 002,6   </w:t>
            </w:r>
          </w:p>
        </w:tc>
        <w:tc>
          <w:tcPr>
            <w:tcW w:w="800" w:type="dxa"/>
          </w:tcPr>
          <w:p w14:paraId="3F2AD9CF" w14:textId="2582A41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13,5</w:t>
            </w:r>
          </w:p>
        </w:tc>
        <w:tc>
          <w:tcPr>
            <w:tcW w:w="676" w:type="dxa"/>
          </w:tcPr>
          <w:p w14:paraId="35647B60" w14:textId="07BD270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16,2</w:t>
            </w:r>
          </w:p>
        </w:tc>
        <w:tc>
          <w:tcPr>
            <w:tcW w:w="738" w:type="dxa"/>
          </w:tcPr>
          <w:p w14:paraId="01654A05" w14:textId="32F62F3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15,0</w:t>
            </w:r>
          </w:p>
        </w:tc>
        <w:tc>
          <w:tcPr>
            <w:tcW w:w="676" w:type="dxa"/>
          </w:tcPr>
          <w:p w14:paraId="72F144FD" w14:textId="57D3090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13,9</w:t>
            </w:r>
          </w:p>
        </w:tc>
        <w:tc>
          <w:tcPr>
            <w:tcW w:w="676" w:type="dxa"/>
          </w:tcPr>
          <w:p w14:paraId="29C0FAC1" w14:textId="045C194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14,7</w:t>
            </w:r>
          </w:p>
        </w:tc>
        <w:tc>
          <w:tcPr>
            <w:tcW w:w="680" w:type="dxa"/>
          </w:tcPr>
          <w:p w14:paraId="6B608957" w14:textId="6355B83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14,7</w:t>
            </w:r>
          </w:p>
        </w:tc>
        <w:tc>
          <w:tcPr>
            <w:tcW w:w="681" w:type="dxa"/>
          </w:tcPr>
          <w:p w14:paraId="7181B687" w14:textId="0FFAF10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15,0</w:t>
            </w:r>
          </w:p>
        </w:tc>
        <w:tc>
          <w:tcPr>
            <w:tcW w:w="680" w:type="dxa"/>
          </w:tcPr>
          <w:p w14:paraId="184456DA" w14:textId="476A2E2A"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15,3</w:t>
            </w:r>
          </w:p>
        </w:tc>
        <w:tc>
          <w:tcPr>
            <w:tcW w:w="676" w:type="dxa"/>
          </w:tcPr>
          <w:p w14:paraId="10C49BC6" w14:textId="11DF93D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15,6</w:t>
            </w:r>
          </w:p>
        </w:tc>
      </w:tr>
      <w:tr w:rsidR="00BF1D2E" w:rsidRPr="001D6947" w14:paraId="56F0AC7A" w14:textId="77777777" w:rsidTr="00DC2E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4E9AE887" w14:textId="4E8301F5" w:rsidR="00BF1D2E" w:rsidRPr="001D6947" w:rsidRDefault="00BF1D2E" w:rsidP="00BF1D2E">
            <w:pPr>
              <w:pStyle w:val="Tabelid"/>
              <w:rPr>
                <w:i/>
              </w:rPr>
            </w:pPr>
            <w:r w:rsidRPr="001D6947">
              <w:rPr>
                <w:i/>
              </w:rPr>
              <w:t>millest töötushüvitised</w:t>
            </w:r>
          </w:p>
        </w:tc>
        <w:tc>
          <w:tcPr>
            <w:tcW w:w="1103" w:type="dxa"/>
          </w:tcPr>
          <w:p w14:paraId="30E6351A" w14:textId="1EC6405E" w:rsidR="00BF1D2E" w:rsidRPr="00B069DE" w:rsidRDefault="00B069D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B069DE">
              <w:rPr>
                <w:i/>
                <w:iCs/>
              </w:rPr>
              <w:t>195,7</w:t>
            </w:r>
            <w:r w:rsidR="00BF1D2E" w:rsidRPr="00B069DE">
              <w:rPr>
                <w:i/>
                <w:iCs/>
              </w:rPr>
              <w:t xml:space="preserve">     </w:t>
            </w:r>
          </w:p>
        </w:tc>
        <w:tc>
          <w:tcPr>
            <w:tcW w:w="800" w:type="dxa"/>
          </w:tcPr>
          <w:p w14:paraId="1DA7242E" w14:textId="5D8A5A3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D6947">
              <w:rPr>
                <w:i/>
                <w:iCs/>
              </w:rPr>
              <w:t>0,</w:t>
            </w:r>
            <w:r w:rsidR="006761C4">
              <w:rPr>
                <w:i/>
                <w:iCs/>
              </w:rPr>
              <w:t>5</w:t>
            </w:r>
          </w:p>
        </w:tc>
        <w:tc>
          <w:tcPr>
            <w:tcW w:w="676" w:type="dxa"/>
          </w:tcPr>
          <w:p w14:paraId="5F2CD734" w14:textId="07C1DDBF"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0,8</w:t>
            </w:r>
          </w:p>
        </w:tc>
        <w:tc>
          <w:tcPr>
            <w:tcW w:w="738" w:type="dxa"/>
          </w:tcPr>
          <w:p w14:paraId="047AECD2" w14:textId="36D0328B"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0,5</w:t>
            </w:r>
          </w:p>
        </w:tc>
        <w:tc>
          <w:tcPr>
            <w:tcW w:w="676" w:type="dxa"/>
          </w:tcPr>
          <w:p w14:paraId="24987F99" w14:textId="00AE0263"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0,5</w:t>
            </w:r>
          </w:p>
        </w:tc>
        <w:tc>
          <w:tcPr>
            <w:tcW w:w="676" w:type="dxa"/>
          </w:tcPr>
          <w:p w14:paraId="0A8C2D5E" w14:textId="0785A3A0"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0,6</w:t>
            </w:r>
          </w:p>
        </w:tc>
        <w:tc>
          <w:tcPr>
            <w:tcW w:w="680" w:type="dxa"/>
          </w:tcPr>
          <w:p w14:paraId="3EB51330" w14:textId="18643E4E"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0,7</w:t>
            </w:r>
          </w:p>
        </w:tc>
        <w:tc>
          <w:tcPr>
            <w:tcW w:w="681" w:type="dxa"/>
          </w:tcPr>
          <w:p w14:paraId="43AE0070" w14:textId="7CB76C59"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0,6</w:t>
            </w:r>
          </w:p>
        </w:tc>
        <w:tc>
          <w:tcPr>
            <w:tcW w:w="680" w:type="dxa"/>
          </w:tcPr>
          <w:p w14:paraId="0553A707" w14:textId="44E91E1A"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0,6</w:t>
            </w:r>
          </w:p>
        </w:tc>
        <w:tc>
          <w:tcPr>
            <w:tcW w:w="676" w:type="dxa"/>
          </w:tcPr>
          <w:p w14:paraId="753B5EF4" w14:textId="06DABA7E" w:rsidR="00BF1D2E" w:rsidRPr="00162DDC"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rPr>
                <w:i/>
                <w:iCs/>
              </w:rPr>
            </w:pPr>
            <w:r w:rsidRPr="00162DDC">
              <w:rPr>
                <w:i/>
                <w:iCs/>
              </w:rPr>
              <w:t>0,6</w:t>
            </w:r>
          </w:p>
        </w:tc>
      </w:tr>
      <w:tr w:rsidR="00BF1D2E" w:rsidRPr="001D6947" w14:paraId="4B1C21DC" w14:textId="77777777" w:rsidTr="00DC2EB2">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6A15A9EC" w14:textId="2D7ECB5A" w:rsidR="00BF1D2E" w:rsidRPr="001D6947" w:rsidRDefault="00BF1D2E" w:rsidP="00BF1D2E">
            <w:pPr>
              <w:pStyle w:val="Tabelid"/>
              <w:rPr>
                <w:iCs/>
              </w:rPr>
            </w:pPr>
            <w:r w:rsidRPr="001D6947">
              <w:rPr>
                <w:iCs/>
              </w:rPr>
              <w:t xml:space="preserve">18a. Mitterahalised sotsiaalsiirded </w:t>
            </w:r>
          </w:p>
        </w:tc>
        <w:tc>
          <w:tcPr>
            <w:tcW w:w="1103" w:type="dxa"/>
          </w:tcPr>
          <w:p w14:paraId="4DFDE982" w14:textId="3F278EB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 xml:space="preserve"> 840,6   </w:t>
            </w:r>
          </w:p>
        </w:tc>
        <w:tc>
          <w:tcPr>
            <w:tcW w:w="800" w:type="dxa"/>
          </w:tcPr>
          <w:p w14:paraId="6588887A" w14:textId="5F64B76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1,8</w:t>
            </w:r>
          </w:p>
        </w:tc>
        <w:tc>
          <w:tcPr>
            <w:tcW w:w="676" w:type="dxa"/>
          </w:tcPr>
          <w:p w14:paraId="40353780" w14:textId="4B7054C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2,3</w:t>
            </w:r>
          </w:p>
        </w:tc>
        <w:tc>
          <w:tcPr>
            <w:tcW w:w="738" w:type="dxa"/>
          </w:tcPr>
          <w:p w14:paraId="5FAC3F14" w14:textId="026480B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c>
          <w:tcPr>
            <w:tcW w:w="676" w:type="dxa"/>
          </w:tcPr>
          <w:p w14:paraId="57D4B209" w14:textId="097547B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2,3</w:t>
            </w:r>
          </w:p>
        </w:tc>
        <w:tc>
          <w:tcPr>
            <w:tcW w:w="676" w:type="dxa"/>
          </w:tcPr>
          <w:p w14:paraId="08CA6933" w14:textId="6649686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c>
          <w:tcPr>
            <w:tcW w:w="680" w:type="dxa"/>
          </w:tcPr>
          <w:p w14:paraId="583286AB" w14:textId="5B9C2BB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2,3</w:t>
            </w:r>
          </w:p>
        </w:tc>
        <w:tc>
          <w:tcPr>
            <w:tcW w:w="681" w:type="dxa"/>
          </w:tcPr>
          <w:p w14:paraId="2565305B" w14:textId="73C3495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2,3</w:t>
            </w:r>
          </w:p>
        </w:tc>
        <w:tc>
          <w:tcPr>
            <w:tcW w:w="680" w:type="dxa"/>
          </w:tcPr>
          <w:p w14:paraId="35FCCB8E" w14:textId="532BB244"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c>
          <w:tcPr>
            <w:tcW w:w="676" w:type="dxa"/>
          </w:tcPr>
          <w:p w14:paraId="3E19DEC7" w14:textId="3A423ADA"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r>
      <w:tr w:rsidR="00BF1D2E" w:rsidRPr="001D6947" w14:paraId="21F7665D" w14:textId="77777777" w:rsidTr="00DC2E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114BE146" w14:textId="0EE52B23" w:rsidR="00BF1D2E" w:rsidRPr="001D6947" w:rsidRDefault="00BF1D2E" w:rsidP="00BF1D2E">
            <w:pPr>
              <w:pStyle w:val="Tabelid"/>
              <w:rPr>
                <w:iCs/>
              </w:rPr>
            </w:pPr>
            <w:r w:rsidRPr="001D6947">
              <w:rPr>
                <w:iCs/>
              </w:rPr>
              <w:t>18b. Rahalised sotsiaalsiirded</w:t>
            </w:r>
          </w:p>
        </w:tc>
        <w:tc>
          <w:tcPr>
            <w:tcW w:w="1103" w:type="dxa"/>
          </w:tcPr>
          <w:p w14:paraId="48C20762" w14:textId="33C5D0A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 xml:space="preserve"> 4 162,0   </w:t>
            </w:r>
          </w:p>
        </w:tc>
        <w:tc>
          <w:tcPr>
            <w:tcW w:w="800" w:type="dxa"/>
          </w:tcPr>
          <w:p w14:paraId="121FEC06" w14:textId="2C7BC67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11,7</w:t>
            </w:r>
          </w:p>
        </w:tc>
        <w:tc>
          <w:tcPr>
            <w:tcW w:w="676" w:type="dxa"/>
          </w:tcPr>
          <w:p w14:paraId="75AB971E" w14:textId="2443F029"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13,8</w:t>
            </w:r>
          </w:p>
        </w:tc>
        <w:tc>
          <w:tcPr>
            <w:tcW w:w="738" w:type="dxa"/>
          </w:tcPr>
          <w:p w14:paraId="1652CC41" w14:textId="714576C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12,6</w:t>
            </w:r>
          </w:p>
        </w:tc>
        <w:tc>
          <w:tcPr>
            <w:tcW w:w="676" w:type="dxa"/>
          </w:tcPr>
          <w:p w14:paraId="596887FC" w14:textId="7359BEB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11,6</w:t>
            </w:r>
          </w:p>
        </w:tc>
        <w:tc>
          <w:tcPr>
            <w:tcW w:w="676" w:type="dxa"/>
          </w:tcPr>
          <w:p w14:paraId="5C24D22F" w14:textId="1AF9FB5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12,3</w:t>
            </w:r>
          </w:p>
        </w:tc>
        <w:tc>
          <w:tcPr>
            <w:tcW w:w="680" w:type="dxa"/>
          </w:tcPr>
          <w:p w14:paraId="0BA048C4" w14:textId="7769264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12,4</w:t>
            </w:r>
          </w:p>
        </w:tc>
        <w:tc>
          <w:tcPr>
            <w:tcW w:w="681" w:type="dxa"/>
          </w:tcPr>
          <w:p w14:paraId="1F144C11" w14:textId="44B1B067"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12,7</w:t>
            </w:r>
          </w:p>
        </w:tc>
        <w:tc>
          <w:tcPr>
            <w:tcW w:w="680" w:type="dxa"/>
          </w:tcPr>
          <w:p w14:paraId="68B6D8E1" w14:textId="16D9FCD0"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13,0</w:t>
            </w:r>
          </w:p>
        </w:tc>
        <w:tc>
          <w:tcPr>
            <w:tcW w:w="676" w:type="dxa"/>
          </w:tcPr>
          <w:p w14:paraId="49AB0C20" w14:textId="64254F7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13,2</w:t>
            </w:r>
          </w:p>
        </w:tc>
      </w:tr>
      <w:tr w:rsidR="00BF1D2E" w:rsidRPr="001D6947" w14:paraId="1CA53E88" w14:textId="77777777" w:rsidTr="00DC2EB2">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2B1EB263" w14:textId="6C955A7E" w:rsidR="00BF1D2E" w:rsidRPr="001D6947" w:rsidRDefault="00BF1D2E" w:rsidP="00BF1D2E">
            <w:pPr>
              <w:pStyle w:val="Tabelid"/>
              <w:rPr>
                <w:iCs/>
              </w:rPr>
            </w:pPr>
            <w:r w:rsidRPr="001D6947">
              <w:rPr>
                <w:iCs/>
              </w:rPr>
              <w:t>19.=9. Intressikulu</w:t>
            </w:r>
          </w:p>
        </w:tc>
        <w:tc>
          <w:tcPr>
            <w:tcW w:w="1103" w:type="dxa"/>
          </w:tcPr>
          <w:p w14:paraId="26106108" w14:textId="52542EEA"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 xml:space="preserve"> 27,9   </w:t>
            </w:r>
          </w:p>
        </w:tc>
        <w:tc>
          <w:tcPr>
            <w:tcW w:w="800" w:type="dxa"/>
          </w:tcPr>
          <w:p w14:paraId="575D5A11" w14:textId="51C58BE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0,1</w:t>
            </w:r>
          </w:p>
        </w:tc>
        <w:tc>
          <w:tcPr>
            <w:tcW w:w="676" w:type="dxa"/>
          </w:tcPr>
          <w:p w14:paraId="41330EF5" w14:textId="1398B64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0,0</w:t>
            </w:r>
          </w:p>
        </w:tc>
        <w:tc>
          <w:tcPr>
            <w:tcW w:w="738" w:type="dxa"/>
          </w:tcPr>
          <w:p w14:paraId="26B1CDF4" w14:textId="7910C77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0,0</w:t>
            </w:r>
          </w:p>
        </w:tc>
        <w:tc>
          <w:tcPr>
            <w:tcW w:w="676" w:type="dxa"/>
          </w:tcPr>
          <w:p w14:paraId="19AEB6F0" w14:textId="1EA29DC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0,1</w:t>
            </w:r>
          </w:p>
        </w:tc>
        <w:tc>
          <w:tcPr>
            <w:tcW w:w="676" w:type="dxa"/>
          </w:tcPr>
          <w:p w14:paraId="5FE965D6" w14:textId="01DDD33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680" w:type="dxa"/>
          </w:tcPr>
          <w:p w14:paraId="17F4BCF4" w14:textId="2B8A6FC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0,6</w:t>
            </w:r>
          </w:p>
        </w:tc>
        <w:tc>
          <w:tcPr>
            <w:tcW w:w="681" w:type="dxa"/>
          </w:tcPr>
          <w:p w14:paraId="230199EF" w14:textId="60A4E14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0,7</w:t>
            </w:r>
          </w:p>
        </w:tc>
        <w:tc>
          <w:tcPr>
            <w:tcW w:w="680" w:type="dxa"/>
          </w:tcPr>
          <w:p w14:paraId="0F7B2FA2" w14:textId="05556D6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0,8</w:t>
            </w:r>
          </w:p>
        </w:tc>
        <w:tc>
          <w:tcPr>
            <w:tcW w:w="676" w:type="dxa"/>
          </w:tcPr>
          <w:p w14:paraId="03DF0A1C" w14:textId="506221F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1,0</w:t>
            </w:r>
          </w:p>
        </w:tc>
      </w:tr>
      <w:tr w:rsidR="00BF1D2E" w:rsidRPr="001D6947" w14:paraId="6310CB16" w14:textId="77777777" w:rsidTr="00DC2E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0A5CA587" w14:textId="31A05F5F" w:rsidR="00BF1D2E" w:rsidRPr="001D6947" w:rsidRDefault="00BF1D2E" w:rsidP="00BF1D2E">
            <w:pPr>
              <w:pStyle w:val="Tabelid"/>
              <w:rPr>
                <w:iCs/>
              </w:rPr>
            </w:pPr>
            <w:r w:rsidRPr="001D6947">
              <w:rPr>
                <w:iCs/>
              </w:rPr>
              <w:t>20. Subsiidiumid</w:t>
            </w:r>
          </w:p>
        </w:tc>
        <w:tc>
          <w:tcPr>
            <w:tcW w:w="1103" w:type="dxa"/>
          </w:tcPr>
          <w:p w14:paraId="5AB961C5" w14:textId="373995A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 xml:space="preserve"> 270,5   </w:t>
            </w:r>
          </w:p>
        </w:tc>
        <w:tc>
          <w:tcPr>
            <w:tcW w:w="800" w:type="dxa"/>
          </w:tcPr>
          <w:p w14:paraId="66BA32C1" w14:textId="2A7EE9E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676" w:type="dxa"/>
          </w:tcPr>
          <w:p w14:paraId="29513CCB" w14:textId="77DD0B9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1,7</w:t>
            </w:r>
          </w:p>
        </w:tc>
        <w:tc>
          <w:tcPr>
            <w:tcW w:w="738" w:type="dxa"/>
          </w:tcPr>
          <w:p w14:paraId="6A1B0A5B" w14:textId="26504239"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1,0</w:t>
            </w:r>
          </w:p>
        </w:tc>
        <w:tc>
          <w:tcPr>
            <w:tcW w:w="676" w:type="dxa"/>
          </w:tcPr>
          <w:p w14:paraId="284FB444" w14:textId="2D63ED3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0,8</w:t>
            </w:r>
          </w:p>
        </w:tc>
        <w:tc>
          <w:tcPr>
            <w:tcW w:w="676" w:type="dxa"/>
          </w:tcPr>
          <w:p w14:paraId="7A8FBECA" w14:textId="7C47384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680" w:type="dxa"/>
          </w:tcPr>
          <w:p w14:paraId="77974ECE" w14:textId="614A64E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0,5</w:t>
            </w:r>
          </w:p>
        </w:tc>
        <w:tc>
          <w:tcPr>
            <w:tcW w:w="681" w:type="dxa"/>
          </w:tcPr>
          <w:p w14:paraId="02B725C2" w14:textId="77F4821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0,5</w:t>
            </w:r>
          </w:p>
        </w:tc>
        <w:tc>
          <w:tcPr>
            <w:tcW w:w="680" w:type="dxa"/>
          </w:tcPr>
          <w:p w14:paraId="47302CC3" w14:textId="177C3C54"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0,5</w:t>
            </w:r>
          </w:p>
        </w:tc>
        <w:tc>
          <w:tcPr>
            <w:tcW w:w="676" w:type="dxa"/>
          </w:tcPr>
          <w:p w14:paraId="1E3211E8" w14:textId="24231F8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0,4</w:t>
            </w:r>
          </w:p>
        </w:tc>
      </w:tr>
      <w:tr w:rsidR="00BF1D2E" w:rsidRPr="001D6947" w14:paraId="63DCC453" w14:textId="77777777" w:rsidTr="00DC2EB2">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164BEA28" w14:textId="22F09698" w:rsidR="00BF1D2E" w:rsidRPr="001D6947" w:rsidRDefault="00BF1D2E" w:rsidP="00BF1D2E">
            <w:pPr>
              <w:pStyle w:val="Tabelid"/>
              <w:rPr>
                <w:iCs/>
              </w:rPr>
            </w:pPr>
            <w:r w:rsidRPr="001D6947">
              <w:rPr>
                <w:iCs/>
              </w:rPr>
              <w:t>21. Kapitali kogumahutus</w:t>
            </w:r>
            <w:r w:rsidR="001A77F5">
              <w:rPr>
                <w:iCs/>
              </w:rPr>
              <w:t xml:space="preserve"> põhivarasse</w:t>
            </w:r>
          </w:p>
        </w:tc>
        <w:tc>
          <w:tcPr>
            <w:tcW w:w="1103" w:type="dxa"/>
          </w:tcPr>
          <w:p w14:paraId="3C79FFCC" w14:textId="5CA4F55E" w:rsidR="00BF1D2E" w:rsidRPr="001D6947" w:rsidRDefault="00875A7C" w:rsidP="00BF1D2E">
            <w:pPr>
              <w:pStyle w:val="Tabelid"/>
              <w:jc w:val="right"/>
              <w:cnfStyle w:val="000000000000" w:firstRow="0" w:lastRow="0" w:firstColumn="0" w:lastColumn="0" w:oddVBand="0" w:evenVBand="0" w:oddHBand="0" w:evenHBand="0" w:firstRowFirstColumn="0" w:firstRowLastColumn="0" w:lastRowFirstColumn="0" w:lastRowLastColumn="0"/>
            </w:pPr>
            <w:r>
              <w:t>1868,0</w:t>
            </w:r>
            <w:r w:rsidR="00BF1D2E" w:rsidRPr="001D6947">
              <w:t xml:space="preserve">   </w:t>
            </w:r>
          </w:p>
        </w:tc>
        <w:tc>
          <w:tcPr>
            <w:tcW w:w="800" w:type="dxa"/>
          </w:tcPr>
          <w:p w14:paraId="1E62FF84" w14:textId="4E00ED69"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5,3</w:t>
            </w:r>
          </w:p>
        </w:tc>
        <w:tc>
          <w:tcPr>
            <w:tcW w:w="676" w:type="dxa"/>
          </w:tcPr>
          <w:p w14:paraId="10FFFDC4" w14:textId="3412F11F"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5,7</w:t>
            </w:r>
          </w:p>
        </w:tc>
        <w:tc>
          <w:tcPr>
            <w:tcW w:w="738" w:type="dxa"/>
          </w:tcPr>
          <w:p w14:paraId="21471780" w14:textId="341B354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5,6</w:t>
            </w:r>
          </w:p>
        </w:tc>
        <w:tc>
          <w:tcPr>
            <w:tcW w:w="676" w:type="dxa"/>
          </w:tcPr>
          <w:p w14:paraId="234777CA" w14:textId="5EFA1293"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5,2</w:t>
            </w:r>
          </w:p>
        </w:tc>
        <w:tc>
          <w:tcPr>
            <w:tcW w:w="676" w:type="dxa"/>
          </w:tcPr>
          <w:p w14:paraId="5C414FA5" w14:textId="48C641C6"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5,5</w:t>
            </w:r>
          </w:p>
        </w:tc>
        <w:tc>
          <w:tcPr>
            <w:tcW w:w="680" w:type="dxa"/>
          </w:tcPr>
          <w:p w14:paraId="509956AA" w14:textId="4BAFDDD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5,7</w:t>
            </w:r>
          </w:p>
        </w:tc>
        <w:tc>
          <w:tcPr>
            <w:tcW w:w="681" w:type="dxa"/>
          </w:tcPr>
          <w:p w14:paraId="259E9CEA" w14:textId="509BCFD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5,9</w:t>
            </w:r>
          </w:p>
        </w:tc>
        <w:tc>
          <w:tcPr>
            <w:tcW w:w="680" w:type="dxa"/>
          </w:tcPr>
          <w:p w14:paraId="50F678BA" w14:textId="0FF4055A"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6,5</w:t>
            </w:r>
          </w:p>
        </w:tc>
        <w:tc>
          <w:tcPr>
            <w:tcW w:w="676" w:type="dxa"/>
          </w:tcPr>
          <w:p w14:paraId="1A82487F" w14:textId="42EB250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5,5</w:t>
            </w:r>
          </w:p>
        </w:tc>
      </w:tr>
      <w:tr w:rsidR="00BF1D2E" w:rsidRPr="001D6947" w14:paraId="2E89F483" w14:textId="77777777" w:rsidTr="00DC2E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27649286" w14:textId="5297EB02" w:rsidR="00BF1D2E" w:rsidRPr="001D6947" w:rsidRDefault="00BF1D2E" w:rsidP="00BF1D2E">
            <w:pPr>
              <w:pStyle w:val="Tabelid"/>
              <w:rPr>
                <w:iCs/>
              </w:rPr>
            </w:pPr>
            <w:r w:rsidRPr="001D6947">
              <w:rPr>
                <w:iCs/>
              </w:rPr>
              <w:t>22. Kapitalisiirded</w:t>
            </w:r>
          </w:p>
        </w:tc>
        <w:tc>
          <w:tcPr>
            <w:tcW w:w="1103" w:type="dxa"/>
          </w:tcPr>
          <w:p w14:paraId="37F12874" w14:textId="4AAE9E8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 xml:space="preserve"> </w:t>
            </w:r>
            <w:r w:rsidR="00D906CB">
              <w:t>365,4</w:t>
            </w:r>
            <w:r w:rsidRPr="001D6947">
              <w:t xml:space="preserve">   </w:t>
            </w:r>
          </w:p>
        </w:tc>
        <w:tc>
          <w:tcPr>
            <w:tcW w:w="800" w:type="dxa"/>
          </w:tcPr>
          <w:p w14:paraId="7CE3DFB7" w14:textId="0E96E4F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w:t>
            </w:r>
            <w:r w:rsidR="00162DDC">
              <w:t>5</w:t>
            </w:r>
          </w:p>
        </w:tc>
        <w:tc>
          <w:tcPr>
            <w:tcW w:w="676" w:type="dxa"/>
          </w:tcPr>
          <w:p w14:paraId="541E1A25" w14:textId="4553162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1,0</w:t>
            </w:r>
          </w:p>
        </w:tc>
        <w:tc>
          <w:tcPr>
            <w:tcW w:w="738" w:type="dxa"/>
          </w:tcPr>
          <w:p w14:paraId="773E1163" w14:textId="0DA34E6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676" w:type="dxa"/>
          </w:tcPr>
          <w:p w14:paraId="1C7F8ED8" w14:textId="2F8E7A0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1,0</w:t>
            </w:r>
          </w:p>
        </w:tc>
        <w:tc>
          <w:tcPr>
            <w:tcW w:w="676" w:type="dxa"/>
          </w:tcPr>
          <w:p w14:paraId="729F5558" w14:textId="0476B2C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1,0</w:t>
            </w:r>
          </w:p>
        </w:tc>
        <w:tc>
          <w:tcPr>
            <w:tcW w:w="680" w:type="dxa"/>
          </w:tcPr>
          <w:p w14:paraId="6599F91E" w14:textId="30541933"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0,9</w:t>
            </w:r>
          </w:p>
        </w:tc>
        <w:tc>
          <w:tcPr>
            <w:tcW w:w="681" w:type="dxa"/>
          </w:tcPr>
          <w:p w14:paraId="5EF6E051" w14:textId="2CA3447A"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0,5</w:t>
            </w:r>
          </w:p>
        </w:tc>
        <w:tc>
          <w:tcPr>
            <w:tcW w:w="680" w:type="dxa"/>
          </w:tcPr>
          <w:p w14:paraId="40087D42" w14:textId="62579CA8"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0,4</w:t>
            </w:r>
          </w:p>
        </w:tc>
        <w:tc>
          <w:tcPr>
            <w:tcW w:w="676" w:type="dxa"/>
          </w:tcPr>
          <w:p w14:paraId="20BA3428" w14:textId="6781538B"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0,5</w:t>
            </w:r>
          </w:p>
        </w:tc>
      </w:tr>
      <w:tr w:rsidR="00BF1D2E" w:rsidRPr="001D6947" w14:paraId="15D9811F" w14:textId="77777777" w:rsidTr="00DC2EB2">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7D7609C5" w14:textId="7B0645F9" w:rsidR="00BF1D2E" w:rsidRPr="001D6947" w:rsidRDefault="00BF1D2E" w:rsidP="00BF1D2E">
            <w:pPr>
              <w:pStyle w:val="Tabelid"/>
              <w:rPr>
                <w:iCs/>
              </w:rPr>
            </w:pPr>
            <w:r w:rsidRPr="001D6947">
              <w:rPr>
                <w:iCs/>
              </w:rPr>
              <w:t>23. Muud kulud</w:t>
            </w:r>
          </w:p>
        </w:tc>
        <w:tc>
          <w:tcPr>
            <w:tcW w:w="1103" w:type="dxa"/>
          </w:tcPr>
          <w:p w14:paraId="3EF8DB11" w14:textId="44082EF5"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 xml:space="preserve"> 645,4   </w:t>
            </w:r>
          </w:p>
        </w:tc>
        <w:tc>
          <w:tcPr>
            <w:tcW w:w="800" w:type="dxa"/>
          </w:tcPr>
          <w:p w14:paraId="213B030D" w14:textId="066ACA8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1,8</w:t>
            </w:r>
          </w:p>
        </w:tc>
        <w:tc>
          <w:tcPr>
            <w:tcW w:w="676" w:type="dxa"/>
          </w:tcPr>
          <w:p w14:paraId="5A1C6E59" w14:textId="227F4FF8"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2,2</w:t>
            </w:r>
          </w:p>
        </w:tc>
        <w:tc>
          <w:tcPr>
            <w:tcW w:w="738" w:type="dxa"/>
          </w:tcPr>
          <w:p w14:paraId="33D8416D" w14:textId="679AFF9B"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2,3</w:t>
            </w:r>
          </w:p>
        </w:tc>
        <w:tc>
          <w:tcPr>
            <w:tcW w:w="676" w:type="dxa"/>
          </w:tcPr>
          <w:p w14:paraId="28CAE3D2" w14:textId="5C76A351"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1,8</w:t>
            </w:r>
          </w:p>
        </w:tc>
        <w:tc>
          <w:tcPr>
            <w:tcW w:w="676" w:type="dxa"/>
          </w:tcPr>
          <w:p w14:paraId="285BE5EB" w14:textId="77AE49EC"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680" w:type="dxa"/>
          </w:tcPr>
          <w:p w14:paraId="68901E05" w14:textId="40984D9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1,9</w:t>
            </w:r>
          </w:p>
        </w:tc>
        <w:tc>
          <w:tcPr>
            <w:tcW w:w="681" w:type="dxa"/>
          </w:tcPr>
          <w:p w14:paraId="7BDC81C0" w14:textId="76E51122"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1,9</w:t>
            </w:r>
          </w:p>
        </w:tc>
        <w:tc>
          <w:tcPr>
            <w:tcW w:w="680" w:type="dxa"/>
          </w:tcPr>
          <w:p w14:paraId="556A9E15" w14:textId="45AF35B7"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1,9</w:t>
            </w:r>
          </w:p>
        </w:tc>
        <w:tc>
          <w:tcPr>
            <w:tcW w:w="676" w:type="dxa"/>
          </w:tcPr>
          <w:p w14:paraId="763F64DE" w14:textId="0CA55F6D" w:rsidR="00BF1D2E" w:rsidRPr="001D6947" w:rsidRDefault="00BF1D2E" w:rsidP="00BF1D2E">
            <w:pPr>
              <w:pStyle w:val="Tabelid"/>
              <w:jc w:val="right"/>
              <w:cnfStyle w:val="000000000000" w:firstRow="0" w:lastRow="0" w:firstColumn="0" w:lastColumn="0" w:oddVBand="0" w:evenVBand="0" w:oddHBand="0" w:evenHBand="0" w:firstRowFirstColumn="0" w:firstRowLastColumn="0" w:lastRowFirstColumn="0" w:lastRowLastColumn="0"/>
            </w:pPr>
            <w:r w:rsidRPr="001D6947">
              <w:t>1,8</w:t>
            </w:r>
          </w:p>
        </w:tc>
      </w:tr>
      <w:tr w:rsidR="00BF1D2E" w:rsidRPr="001D66EC" w14:paraId="73D333D0" w14:textId="77777777" w:rsidTr="00DC2EB2">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3261" w:type="dxa"/>
          </w:tcPr>
          <w:p w14:paraId="543B3523" w14:textId="49F7BDA1" w:rsidR="00BF1D2E" w:rsidRPr="001D6947" w:rsidRDefault="00BF1D2E" w:rsidP="00BF1D2E">
            <w:pPr>
              <w:pStyle w:val="Tabelid"/>
              <w:rPr>
                <w:iCs/>
              </w:rPr>
            </w:pPr>
            <w:r w:rsidRPr="001D6947">
              <w:rPr>
                <w:iCs/>
              </w:rPr>
              <w:t>24.=7. Kulud kokku</w:t>
            </w:r>
          </w:p>
        </w:tc>
        <w:tc>
          <w:tcPr>
            <w:tcW w:w="1103" w:type="dxa"/>
          </w:tcPr>
          <w:p w14:paraId="4697C640" w14:textId="1D32E6AE"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 xml:space="preserve"> 14 267,1   </w:t>
            </w:r>
          </w:p>
        </w:tc>
        <w:tc>
          <w:tcPr>
            <w:tcW w:w="800" w:type="dxa"/>
          </w:tcPr>
          <w:p w14:paraId="057C9254" w14:textId="67CBB38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38,</w:t>
            </w:r>
            <w:r w:rsidR="0093757F">
              <w:t>8</w:t>
            </w:r>
          </w:p>
        </w:tc>
        <w:tc>
          <w:tcPr>
            <w:tcW w:w="676" w:type="dxa"/>
          </w:tcPr>
          <w:p w14:paraId="2858BF79" w14:textId="285458F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44,9</w:t>
            </w:r>
          </w:p>
        </w:tc>
        <w:tc>
          <w:tcPr>
            <w:tcW w:w="738" w:type="dxa"/>
          </w:tcPr>
          <w:p w14:paraId="233DB019" w14:textId="5365532D"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41,8</w:t>
            </w:r>
          </w:p>
        </w:tc>
        <w:tc>
          <w:tcPr>
            <w:tcW w:w="676" w:type="dxa"/>
          </w:tcPr>
          <w:p w14:paraId="3A5ABE42" w14:textId="136E79E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39,6</w:t>
            </w:r>
          </w:p>
        </w:tc>
        <w:tc>
          <w:tcPr>
            <w:tcW w:w="676" w:type="dxa"/>
          </w:tcPr>
          <w:p w14:paraId="05CDF826" w14:textId="7E159CE1"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43,1</w:t>
            </w:r>
          </w:p>
        </w:tc>
        <w:tc>
          <w:tcPr>
            <w:tcW w:w="680" w:type="dxa"/>
          </w:tcPr>
          <w:p w14:paraId="49B56EBE" w14:textId="42D59685"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42,5</w:t>
            </w:r>
          </w:p>
        </w:tc>
        <w:tc>
          <w:tcPr>
            <w:tcW w:w="681" w:type="dxa"/>
          </w:tcPr>
          <w:p w14:paraId="50665DEB" w14:textId="677B19EF"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42,3</w:t>
            </w:r>
          </w:p>
        </w:tc>
        <w:tc>
          <w:tcPr>
            <w:tcW w:w="680" w:type="dxa"/>
          </w:tcPr>
          <w:p w14:paraId="022DD39F" w14:textId="7FB83112"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42,7</w:t>
            </w:r>
          </w:p>
        </w:tc>
        <w:tc>
          <w:tcPr>
            <w:tcW w:w="676" w:type="dxa"/>
          </w:tcPr>
          <w:p w14:paraId="331C26AC" w14:textId="14CFC7E6" w:rsidR="00BF1D2E" w:rsidRPr="001D6947" w:rsidRDefault="00BF1D2E" w:rsidP="00BF1D2E">
            <w:pPr>
              <w:pStyle w:val="Tabelid"/>
              <w:jc w:val="right"/>
              <w:cnfStyle w:val="000000100000" w:firstRow="0" w:lastRow="0" w:firstColumn="0" w:lastColumn="0" w:oddVBand="0" w:evenVBand="0" w:oddHBand="1" w:evenHBand="0" w:firstRowFirstColumn="0" w:firstRowLastColumn="0" w:lastRowFirstColumn="0" w:lastRowLastColumn="0"/>
            </w:pPr>
            <w:r w:rsidRPr="001D6947">
              <w:t>42,1</w:t>
            </w:r>
          </w:p>
        </w:tc>
      </w:tr>
      <w:tr w:rsidR="00C76C38" w:rsidRPr="00414819" w14:paraId="36329A24" w14:textId="77777777" w:rsidTr="000B22F7">
        <w:trPr>
          <w:trHeight w:val="63"/>
        </w:trPr>
        <w:tc>
          <w:tcPr>
            <w:cnfStyle w:val="001000000000" w:firstRow="0" w:lastRow="0" w:firstColumn="1" w:lastColumn="0" w:oddVBand="0" w:evenVBand="0" w:oddHBand="0" w:evenHBand="0" w:firstRowFirstColumn="0" w:firstRowLastColumn="0" w:lastRowFirstColumn="0" w:lastRowLastColumn="0"/>
            <w:tcW w:w="3261" w:type="dxa"/>
          </w:tcPr>
          <w:p w14:paraId="08779E9D" w14:textId="276A2CB9" w:rsidR="00C76C38" w:rsidRPr="00B56E1F" w:rsidRDefault="00C76C38" w:rsidP="00C76C38">
            <w:pPr>
              <w:pStyle w:val="Tabelid"/>
              <w:rPr>
                <w:iCs/>
              </w:rPr>
            </w:pPr>
            <w:proofErr w:type="spellStart"/>
            <w:r w:rsidRPr="00B56E1F">
              <w:rPr>
                <w:iCs/>
              </w:rPr>
              <w:t>p.m</w:t>
            </w:r>
            <w:proofErr w:type="spellEnd"/>
            <w:r w:rsidRPr="00B56E1F">
              <w:rPr>
                <w:iCs/>
              </w:rPr>
              <w:t>. Valitsussektori tarbimine</w:t>
            </w:r>
          </w:p>
        </w:tc>
        <w:tc>
          <w:tcPr>
            <w:tcW w:w="1103" w:type="dxa"/>
          </w:tcPr>
          <w:p w14:paraId="7989DBB7" w14:textId="1BBECC2B"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7 0</w:t>
            </w:r>
            <w:r w:rsidR="00D906CB">
              <w:t>3</w:t>
            </w:r>
            <w:r w:rsidRPr="00B56E1F">
              <w:t>0,</w:t>
            </w:r>
            <w:r w:rsidR="00D906CB">
              <w:t>3</w:t>
            </w:r>
          </w:p>
        </w:tc>
        <w:tc>
          <w:tcPr>
            <w:tcW w:w="800" w:type="dxa"/>
          </w:tcPr>
          <w:p w14:paraId="672D5BD3" w14:textId="4154B1C7"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19,0</w:t>
            </w:r>
          </w:p>
        </w:tc>
        <w:tc>
          <w:tcPr>
            <w:tcW w:w="676" w:type="dxa"/>
          </w:tcPr>
          <w:p w14:paraId="41CCF061" w14:textId="4B8469F7"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20,8</w:t>
            </w:r>
          </w:p>
        </w:tc>
        <w:tc>
          <w:tcPr>
            <w:tcW w:w="738" w:type="dxa"/>
          </w:tcPr>
          <w:p w14:paraId="6980616F" w14:textId="44D4805E"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20,0</w:t>
            </w:r>
          </w:p>
        </w:tc>
        <w:tc>
          <w:tcPr>
            <w:tcW w:w="676" w:type="dxa"/>
          </w:tcPr>
          <w:p w14:paraId="63979F61" w14:textId="629FB9A1"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19,5</w:t>
            </w:r>
          </w:p>
        </w:tc>
        <w:tc>
          <w:tcPr>
            <w:tcW w:w="676" w:type="dxa"/>
          </w:tcPr>
          <w:p w14:paraId="2F0F17EB" w14:textId="59FFD463"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21,4</w:t>
            </w:r>
          </w:p>
        </w:tc>
        <w:tc>
          <w:tcPr>
            <w:tcW w:w="680" w:type="dxa"/>
          </w:tcPr>
          <w:p w14:paraId="711566D0" w14:textId="49F6C512"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20,7</w:t>
            </w:r>
          </w:p>
        </w:tc>
        <w:tc>
          <w:tcPr>
            <w:tcW w:w="681" w:type="dxa"/>
          </w:tcPr>
          <w:p w14:paraId="5D162E99" w14:textId="7C44DDB3"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20,4</w:t>
            </w:r>
          </w:p>
        </w:tc>
        <w:tc>
          <w:tcPr>
            <w:tcW w:w="680" w:type="dxa"/>
          </w:tcPr>
          <w:p w14:paraId="3706994C" w14:textId="2D22A04E"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20,0</w:t>
            </w:r>
          </w:p>
        </w:tc>
        <w:tc>
          <w:tcPr>
            <w:tcW w:w="676" w:type="dxa"/>
          </w:tcPr>
          <w:p w14:paraId="1333B9CD" w14:textId="74653913" w:rsidR="00C76C38" w:rsidRPr="00B56E1F" w:rsidRDefault="00C76C38" w:rsidP="00C76C38">
            <w:pPr>
              <w:pStyle w:val="Tabelid"/>
              <w:jc w:val="right"/>
              <w:cnfStyle w:val="000000000000" w:firstRow="0" w:lastRow="0" w:firstColumn="0" w:lastColumn="0" w:oddVBand="0" w:evenVBand="0" w:oddHBand="0" w:evenHBand="0" w:firstRowFirstColumn="0" w:firstRowLastColumn="0" w:lastRowFirstColumn="0" w:lastRowLastColumn="0"/>
            </w:pPr>
            <w:r w:rsidRPr="00B56E1F">
              <w:t>20,0</w:t>
            </w:r>
          </w:p>
        </w:tc>
      </w:tr>
    </w:tbl>
    <w:p w14:paraId="4E501D23" w14:textId="77777777" w:rsidR="00831AD9" w:rsidRPr="001D66EC" w:rsidRDefault="00831AD9" w:rsidP="00831AD9">
      <w:pPr>
        <w:pStyle w:val="Mrkus"/>
      </w:pPr>
      <w:r w:rsidRPr="001D66EC">
        <w:t>Allikad: Eesti Statistikaamet, Rahandusministeerium.</w:t>
      </w:r>
    </w:p>
    <w:p w14:paraId="727A9B2F" w14:textId="77777777" w:rsidR="00831AD9" w:rsidRPr="00414819" w:rsidRDefault="00831AD9" w:rsidP="00831AD9">
      <w:pPr>
        <w:rPr>
          <w:highlight w:val="yellow"/>
        </w:rPr>
      </w:pPr>
      <w:r w:rsidRPr="00414819">
        <w:rPr>
          <w:highlight w:val="yellow"/>
        </w:rPr>
        <w:br w:type="page"/>
      </w:r>
    </w:p>
    <w:p w14:paraId="64A04140" w14:textId="3F1B0228" w:rsidR="00831AD9" w:rsidRPr="001D6947" w:rsidRDefault="00831AD9" w:rsidP="00E54FF2">
      <w:pPr>
        <w:pStyle w:val="Caption"/>
      </w:pPr>
      <w:bookmarkStart w:id="258" w:name="_Ref68188476"/>
      <w:bookmarkStart w:id="259" w:name="_Toc4502673"/>
      <w:bookmarkStart w:id="260" w:name="_Toc143775555"/>
      <w:r w:rsidRPr="001D6947">
        <w:lastRenderedPageBreak/>
        <w:t xml:space="preserve">Tabel </w:t>
      </w:r>
      <w:r w:rsidR="004C0EAE">
        <w:fldChar w:fldCharType="begin"/>
      </w:r>
      <w:r w:rsidR="004C0EAE">
        <w:instrText xml:space="preserve"> SEQ Tabel \* ARABIC </w:instrText>
      </w:r>
      <w:r w:rsidR="004C0EAE">
        <w:fldChar w:fldCharType="separate"/>
      </w:r>
      <w:r w:rsidR="00D84B51">
        <w:rPr>
          <w:noProof/>
        </w:rPr>
        <w:t>14</w:t>
      </w:r>
      <w:r w:rsidR="004C0EAE">
        <w:rPr>
          <w:noProof/>
        </w:rPr>
        <w:fldChar w:fldCharType="end"/>
      </w:r>
      <w:bookmarkEnd w:id="258"/>
      <w:r w:rsidRPr="001D6947">
        <w:t xml:space="preserve">. </w:t>
      </w:r>
      <w:bookmarkStart w:id="261" w:name="_Ref112076586"/>
      <w:r w:rsidRPr="001D6947">
        <w:t>Valitsussektori kulud valitsemisfunktsioonide (COFOG) lõikes (% SKPst)</w:t>
      </w:r>
      <w:bookmarkEnd w:id="259"/>
      <w:bookmarkEnd w:id="261"/>
      <w:bookmarkEnd w:id="260"/>
    </w:p>
    <w:tbl>
      <w:tblPr>
        <w:tblStyle w:val="TableSubtle1"/>
        <w:tblW w:w="5000" w:type="pct"/>
        <w:tblLayout w:type="fixed"/>
        <w:tblLook w:val="04A0" w:firstRow="1" w:lastRow="0" w:firstColumn="1" w:lastColumn="0" w:noHBand="0" w:noVBand="1"/>
      </w:tblPr>
      <w:tblGrid>
        <w:gridCol w:w="2935"/>
        <w:gridCol w:w="893"/>
        <w:gridCol w:w="687"/>
        <w:gridCol w:w="686"/>
        <w:gridCol w:w="686"/>
        <w:gridCol w:w="684"/>
        <w:gridCol w:w="686"/>
        <w:gridCol w:w="684"/>
        <w:gridCol w:w="686"/>
        <w:gridCol w:w="684"/>
        <w:gridCol w:w="667"/>
      </w:tblGrid>
      <w:tr w:rsidR="00FA7B41" w:rsidRPr="001D6947" w14:paraId="0732F002" w14:textId="74EEFA04" w:rsidTr="00DB0796">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70" w:type="pct"/>
          </w:tcPr>
          <w:p w14:paraId="72F412BB" w14:textId="77777777" w:rsidR="00FA7B41" w:rsidRPr="001D6947" w:rsidRDefault="00FA7B41" w:rsidP="00FA7B41">
            <w:pPr>
              <w:pStyle w:val="Tabelid"/>
              <w:rPr>
                <w:b w:val="0"/>
              </w:rPr>
            </w:pPr>
          </w:p>
        </w:tc>
        <w:tc>
          <w:tcPr>
            <w:tcW w:w="447" w:type="pct"/>
          </w:tcPr>
          <w:p w14:paraId="187F9203" w14:textId="77777777" w:rsidR="00FA7B41" w:rsidRPr="001D6947" w:rsidRDefault="00FA7B41" w:rsidP="00FA7B41">
            <w:pPr>
              <w:pStyle w:val="Tabelid"/>
              <w:cnfStyle w:val="100000000000" w:firstRow="1" w:lastRow="0" w:firstColumn="0" w:lastColumn="0" w:oddVBand="0" w:evenVBand="0" w:oddHBand="0" w:evenHBand="0" w:firstRowFirstColumn="0" w:firstRowLastColumn="0" w:lastRowFirstColumn="0" w:lastRowLastColumn="0"/>
              <w:rPr>
                <w:b w:val="0"/>
              </w:rPr>
            </w:pPr>
          </w:p>
        </w:tc>
        <w:tc>
          <w:tcPr>
            <w:tcW w:w="344" w:type="pct"/>
          </w:tcPr>
          <w:p w14:paraId="74F91998" w14:textId="22311D9E"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5B4D5F">
              <w:t>2011-</w:t>
            </w:r>
            <w:r w:rsidR="00924148" w:rsidRPr="005B4D5F">
              <w:t>19</w:t>
            </w:r>
          </w:p>
        </w:tc>
        <w:tc>
          <w:tcPr>
            <w:tcW w:w="344" w:type="pct"/>
          </w:tcPr>
          <w:p w14:paraId="71113D27" w14:textId="52D29DB5"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2020</w:t>
            </w:r>
          </w:p>
        </w:tc>
        <w:tc>
          <w:tcPr>
            <w:tcW w:w="344" w:type="pct"/>
          </w:tcPr>
          <w:p w14:paraId="3D63E69F" w14:textId="10766ED0"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2021</w:t>
            </w:r>
          </w:p>
        </w:tc>
        <w:tc>
          <w:tcPr>
            <w:tcW w:w="343" w:type="pct"/>
          </w:tcPr>
          <w:p w14:paraId="3C933981" w14:textId="6B50720B"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2022</w:t>
            </w:r>
          </w:p>
        </w:tc>
        <w:tc>
          <w:tcPr>
            <w:tcW w:w="344" w:type="pct"/>
          </w:tcPr>
          <w:p w14:paraId="7711D83C" w14:textId="4F10D546"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2023</w:t>
            </w:r>
          </w:p>
        </w:tc>
        <w:tc>
          <w:tcPr>
            <w:tcW w:w="343" w:type="pct"/>
          </w:tcPr>
          <w:p w14:paraId="2152127B" w14:textId="599476F7"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2024</w:t>
            </w:r>
          </w:p>
        </w:tc>
        <w:tc>
          <w:tcPr>
            <w:tcW w:w="344" w:type="pct"/>
          </w:tcPr>
          <w:p w14:paraId="02A175DA" w14:textId="5F68EE71"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2025</w:t>
            </w:r>
          </w:p>
        </w:tc>
        <w:tc>
          <w:tcPr>
            <w:tcW w:w="343" w:type="pct"/>
          </w:tcPr>
          <w:p w14:paraId="5944099C" w14:textId="53AFA3AA"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2026</w:t>
            </w:r>
          </w:p>
        </w:tc>
        <w:tc>
          <w:tcPr>
            <w:tcW w:w="335" w:type="pct"/>
          </w:tcPr>
          <w:p w14:paraId="0EFA5FD2" w14:textId="255DC43B" w:rsidR="00FA7B41" w:rsidRPr="001D6947" w:rsidRDefault="00FA7B41" w:rsidP="008B0EAE">
            <w:pPr>
              <w:pStyle w:val="Tabelid"/>
              <w:cnfStyle w:val="100000000000" w:firstRow="1" w:lastRow="0" w:firstColumn="0" w:lastColumn="0" w:oddVBand="0" w:evenVBand="0" w:oddHBand="0" w:evenHBand="0" w:firstRowFirstColumn="0" w:firstRowLastColumn="0" w:lastRowFirstColumn="0" w:lastRowLastColumn="0"/>
            </w:pPr>
            <w:r w:rsidRPr="001D6947">
              <w:t>2027</w:t>
            </w:r>
          </w:p>
        </w:tc>
      </w:tr>
      <w:tr w:rsidR="00DB0796" w:rsidRPr="001D6947" w14:paraId="0703BDD6" w14:textId="363AB236" w:rsidTr="00DB079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70" w:type="pct"/>
          </w:tcPr>
          <w:p w14:paraId="482E3EF7" w14:textId="14405349" w:rsidR="00DB0796" w:rsidRPr="001D6947" w:rsidRDefault="00DB0796" w:rsidP="00DB0796">
            <w:pPr>
              <w:pStyle w:val="Tabelid"/>
              <w:keepNext/>
              <w:rPr>
                <w:iCs/>
              </w:rPr>
            </w:pPr>
            <w:r w:rsidRPr="001D6947">
              <w:rPr>
                <w:iCs/>
              </w:rPr>
              <w:t>1. Üldised valitsussektori teenused</w:t>
            </w:r>
          </w:p>
        </w:tc>
        <w:tc>
          <w:tcPr>
            <w:tcW w:w="447" w:type="pct"/>
          </w:tcPr>
          <w:p w14:paraId="31326A15" w14:textId="47027BF4"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w:t>
            </w:r>
          </w:p>
        </w:tc>
        <w:tc>
          <w:tcPr>
            <w:tcW w:w="344" w:type="pct"/>
          </w:tcPr>
          <w:p w14:paraId="2A1ACABA" w14:textId="6D452E1D"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3,8</w:t>
            </w:r>
          </w:p>
        </w:tc>
        <w:tc>
          <w:tcPr>
            <w:tcW w:w="344" w:type="pct"/>
          </w:tcPr>
          <w:p w14:paraId="761C6272" w14:textId="7D4E609A"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4,0</w:t>
            </w:r>
          </w:p>
        </w:tc>
        <w:tc>
          <w:tcPr>
            <w:tcW w:w="344" w:type="pct"/>
          </w:tcPr>
          <w:p w14:paraId="39F99FCF" w14:textId="308F5323"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3,9</w:t>
            </w:r>
          </w:p>
        </w:tc>
        <w:tc>
          <w:tcPr>
            <w:tcW w:w="343" w:type="pct"/>
          </w:tcPr>
          <w:p w14:paraId="38748D5C" w14:textId="7D92A213"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3,7</w:t>
            </w:r>
          </w:p>
        </w:tc>
        <w:tc>
          <w:tcPr>
            <w:tcW w:w="344" w:type="pct"/>
          </w:tcPr>
          <w:p w14:paraId="6A5FCEFF" w14:textId="00BE5041"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4,1</w:t>
            </w:r>
          </w:p>
        </w:tc>
        <w:tc>
          <w:tcPr>
            <w:tcW w:w="343" w:type="pct"/>
          </w:tcPr>
          <w:p w14:paraId="436A8F98" w14:textId="0C21308D"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4,0</w:t>
            </w:r>
          </w:p>
        </w:tc>
        <w:tc>
          <w:tcPr>
            <w:tcW w:w="344" w:type="pct"/>
          </w:tcPr>
          <w:p w14:paraId="7894FEE6" w14:textId="536F5CDD"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3,9</w:t>
            </w:r>
          </w:p>
        </w:tc>
        <w:tc>
          <w:tcPr>
            <w:tcW w:w="343" w:type="pct"/>
          </w:tcPr>
          <w:p w14:paraId="622BDCC8" w14:textId="2EBB8596"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3,9</w:t>
            </w:r>
          </w:p>
        </w:tc>
        <w:tc>
          <w:tcPr>
            <w:tcW w:w="335" w:type="pct"/>
          </w:tcPr>
          <w:p w14:paraId="04D3A0EE" w14:textId="10FC14C3"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3,8</w:t>
            </w:r>
          </w:p>
        </w:tc>
      </w:tr>
      <w:tr w:rsidR="00DB0796" w:rsidRPr="001D6947" w14:paraId="0E4FB13C" w14:textId="45D17FBC" w:rsidTr="00DB0796">
        <w:trPr>
          <w:trHeight w:val="57"/>
        </w:trPr>
        <w:tc>
          <w:tcPr>
            <w:cnfStyle w:val="001000000000" w:firstRow="0" w:lastRow="0" w:firstColumn="1" w:lastColumn="0" w:oddVBand="0" w:evenVBand="0" w:oddHBand="0" w:evenHBand="0" w:firstRowFirstColumn="0" w:firstRowLastColumn="0" w:lastRowFirstColumn="0" w:lastRowLastColumn="0"/>
            <w:tcW w:w="1470" w:type="pct"/>
          </w:tcPr>
          <w:p w14:paraId="35966D05" w14:textId="487C2B4D" w:rsidR="00DB0796" w:rsidRPr="001D6947" w:rsidRDefault="00DB0796" w:rsidP="00DB0796">
            <w:pPr>
              <w:pStyle w:val="Tabelid"/>
              <w:keepNext/>
            </w:pPr>
            <w:r w:rsidRPr="001D6947">
              <w:t>2. Riigikaitse</w:t>
            </w:r>
          </w:p>
        </w:tc>
        <w:tc>
          <w:tcPr>
            <w:tcW w:w="447" w:type="pct"/>
          </w:tcPr>
          <w:p w14:paraId="66E12E15" w14:textId="3A4D4A60"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w:t>
            </w:r>
          </w:p>
        </w:tc>
        <w:tc>
          <w:tcPr>
            <w:tcW w:w="344" w:type="pct"/>
          </w:tcPr>
          <w:p w14:paraId="0FD344F8" w14:textId="12070D1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1,9</w:t>
            </w:r>
          </w:p>
        </w:tc>
        <w:tc>
          <w:tcPr>
            <w:tcW w:w="344" w:type="pct"/>
          </w:tcPr>
          <w:p w14:paraId="67B1D097" w14:textId="128C3CC0"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c>
          <w:tcPr>
            <w:tcW w:w="344" w:type="pct"/>
          </w:tcPr>
          <w:p w14:paraId="2B9C1F74" w14:textId="003B3473"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343" w:type="pct"/>
          </w:tcPr>
          <w:p w14:paraId="1F6F5C84" w14:textId="1644B6CF"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2,4</w:t>
            </w:r>
          </w:p>
        </w:tc>
        <w:tc>
          <w:tcPr>
            <w:tcW w:w="344" w:type="pct"/>
          </w:tcPr>
          <w:p w14:paraId="0E3CF059" w14:textId="7678CA3A"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2,8</w:t>
            </w:r>
          </w:p>
        </w:tc>
        <w:tc>
          <w:tcPr>
            <w:tcW w:w="343" w:type="pct"/>
          </w:tcPr>
          <w:p w14:paraId="095DD511" w14:textId="0E9F5F90"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3,2</w:t>
            </w:r>
          </w:p>
        </w:tc>
        <w:tc>
          <w:tcPr>
            <w:tcW w:w="344" w:type="pct"/>
          </w:tcPr>
          <w:p w14:paraId="52DD493E" w14:textId="158F74FA"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3,1</w:t>
            </w:r>
          </w:p>
        </w:tc>
        <w:tc>
          <w:tcPr>
            <w:tcW w:w="343" w:type="pct"/>
          </w:tcPr>
          <w:p w14:paraId="7375C91A" w14:textId="50ED6A1E"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3,0</w:t>
            </w:r>
          </w:p>
        </w:tc>
        <w:tc>
          <w:tcPr>
            <w:tcW w:w="335" w:type="pct"/>
          </w:tcPr>
          <w:p w14:paraId="111E2EC2" w14:textId="6B4FF4E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3,0</w:t>
            </w:r>
          </w:p>
        </w:tc>
      </w:tr>
      <w:tr w:rsidR="00DB0796" w:rsidRPr="001D6947" w14:paraId="477A00AF" w14:textId="4DF48BB0" w:rsidTr="00DB079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70" w:type="pct"/>
          </w:tcPr>
          <w:p w14:paraId="224EF8E1" w14:textId="47323C8D" w:rsidR="00DB0796" w:rsidRPr="001D6947" w:rsidRDefault="00DB0796" w:rsidP="00DB0796">
            <w:pPr>
              <w:pStyle w:val="Tabelid"/>
              <w:keepNext/>
            </w:pPr>
            <w:r w:rsidRPr="001D6947">
              <w:t>3. Avalik kord ja julgeolek</w:t>
            </w:r>
          </w:p>
        </w:tc>
        <w:tc>
          <w:tcPr>
            <w:tcW w:w="447" w:type="pct"/>
          </w:tcPr>
          <w:p w14:paraId="4AAE9E6A" w14:textId="455A8079"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3</w:t>
            </w:r>
          </w:p>
        </w:tc>
        <w:tc>
          <w:tcPr>
            <w:tcW w:w="344" w:type="pct"/>
          </w:tcPr>
          <w:p w14:paraId="03BB0FE1" w14:textId="338DFD41"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1,9</w:t>
            </w:r>
          </w:p>
        </w:tc>
        <w:tc>
          <w:tcPr>
            <w:tcW w:w="344" w:type="pct"/>
          </w:tcPr>
          <w:p w14:paraId="280017B5" w14:textId="665F9B85"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2,0</w:t>
            </w:r>
          </w:p>
        </w:tc>
        <w:tc>
          <w:tcPr>
            <w:tcW w:w="344" w:type="pct"/>
          </w:tcPr>
          <w:p w14:paraId="269A545F" w14:textId="72C301D1"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1,8</w:t>
            </w:r>
          </w:p>
        </w:tc>
        <w:tc>
          <w:tcPr>
            <w:tcW w:w="343" w:type="pct"/>
          </w:tcPr>
          <w:p w14:paraId="09A37D48" w14:textId="5DFCF015"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1,8</w:t>
            </w:r>
          </w:p>
        </w:tc>
        <w:tc>
          <w:tcPr>
            <w:tcW w:w="344" w:type="pct"/>
          </w:tcPr>
          <w:p w14:paraId="6009F28B" w14:textId="69DB7164"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1,8</w:t>
            </w:r>
          </w:p>
        </w:tc>
        <w:tc>
          <w:tcPr>
            <w:tcW w:w="343" w:type="pct"/>
          </w:tcPr>
          <w:p w14:paraId="41F675CF" w14:textId="0852F044"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1,8</w:t>
            </w:r>
          </w:p>
        </w:tc>
        <w:tc>
          <w:tcPr>
            <w:tcW w:w="344" w:type="pct"/>
          </w:tcPr>
          <w:p w14:paraId="78AAB1F5" w14:textId="2CFB1557"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1,8</w:t>
            </w:r>
          </w:p>
        </w:tc>
        <w:tc>
          <w:tcPr>
            <w:tcW w:w="343" w:type="pct"/>
          </w:tcPr>
          <w:p w14:paraId="038EB1DB" w14:textId="24B6A847"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1,8</w:t>
            </w:r>
          </w:p>
        </w:tc>
        <w:tc>
          <w:tcPr>
            <w:tcW w:w="335" w:type="pct"/>
          </w:tcPr>
          <w:p w14:paraId="399FB628" w14:textId="745CED24"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1,8</w:t>
            </w:r>
          </w:p>
        </w:tc>
      </w:tr>
      <w:tr w:rsidR="00DB0796" w:rsidRPr="001D6947" w14:paraId="4453C8A1" w14:textId="3F1BE07E" w:rsidTr="00DB0796">
        <w:trPr>
          <w:trHeight w:val="57"/>
        </w:trPr>
        <w:tc>
          <w:tcPr>
            <w:cnfStyle w:val="001000000000" w:firstRow="0" w:lastRow="0" w:firstColumn="1" w:lastColumn="0" w:oddVBand="0" w:evenVBand="0" w:oddHBand="0" w:evenHBand="0" w:firstRowFirstColumn="0" w:firstRowLastColumn="0" w:lastRowFirstColumn="0" w:lastRowLastColumn="0"/>
            <w:tcW w:w="1470" w:type="pct"/>
          </w:tcPr>
          <w:p w14:paraId="2E791D01" w14:textId="2D340E62" w:rsidR="00DB0796" w:rsidRPr="001D6947" w:rsidRDefault="00DB0796" w:rsidP="00DB0796">
            <w:pPr>
              <w:pStyle w:val="Tabelid"/>
              <w:keepNext/>
            </w:pPr>
            <w:r w:rsidRPr="001D6947">
              <w:t>4. Majandus</w:t>
            </w:r>
          </w:p>
        </w:tc>
        <w:tc>
          <w:tcPr>
            <w:tcW w:w="447" w:type="pct"/>
          </w:tcPr>
          <w:p w14:paraId="775A8A9F" w14:textId="677311B0"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4</w:t>
            </w:r>
          </w:p>
        </w:tc>
        <w:tc>
          <w:tcPr>
            <w:tcW w:w="344" w:type="pct"/>
          </w:tcPr>
          <w:p w14:paraId="1A29FA1C" w14:textId="69396E8B"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4,4</w:t>
            </w:r>
          </w:p>
        </w:tc>
        <w:tc>
          <w:tcPr>
            <w:tcW w:w="344" w:type="pct"/>
          </w:tcPr>
          <w:p w14:paraId="6784FF1A" w14:textId="76ADA229"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5,8</w:t>
            </w:r>
          </w:p>
        </w:tc>
        <w:tc>
          <w:tcPr>
            <w:tcW w:w="344" w:type="pct"/>
          </w:tcPr>
          <w:p w14:paraId="743B86B2" w14:textId="01E7BC7F"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4,9</w:t>
            </w:r>
          </w:p>
        </w:tc>
        <w:tc>
          <w:tcPr>
            <w:tcW w:w="343" w:type="pct"/>
          </w:tcPr>
          <w:p w14:paraId="2AAB5D57" w14:textId="032EEF1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4,8</w:t>
            </w:r>
          </w:p>
        </w:tc>
        <w:tc>
          <w:tcPr>
            <w:tcW w:w="344" w:type="pct"/>
          </w:tcPr>
          <w:p w14:paraId="0B28A40E" w14:textId="52D0F01F"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5,7</w:t>
            </w:r>
          </w:p>
        </w:tc>
        <w:tc>
          <w:tcPr>
            <w:tcW w:w="343" w:type="pct"/>
          </w:tcPr>
          <w:p w14:paraId="08C15CE0" w14:textId="626AF421"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4,7</w:t>
            </w:r>
          </w:p>
        </w:tc>
        <w:tc>
          <w:tcPr>
            <w:tcW w:w="344" w:type="pct"/>
          </w:tcPr>
          <w:p w14:paraId="312A7192" w14:textId="61103994"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4,2</w:t>
            </w:r>
          </w:p>
        </w:tc>
        <w:tc>
          <w:tcPr>
            <w:tcW w:w="343" w:type="pct"/>
          </w:tcPr>
          <w:p w14:paraId="6DE92200" w14:textId="60E1962B"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4,3</w:t>
            </w:r>
          </w:p>
        </w:tc>
        <w:tc>
          <w:tcPr>
            <w:tcW w:w="335" w:type="pct"/>
          </w:tcPr>
          <w:p w14:paraId="2B8011F3" w14:textId="57E86577"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3,7</w:t>
            </w:r>
          </w:p>
        </w:tc>
      </w:tr>
      <w:tr w:rsidR="00DB0796" w:rsidRPr="001D6947" w14:paraId="473E2AC7" w14:textId="6B3D5863" w:rsidTr="00DB079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70" w:type="pct"/>
          </w:tcPr>
          <w:p w14:paraId="5D44931E" w14:textId="2C0C9880" w:rsidR="00DB0796" w:rsidRPr="001D6947" w:rsidRDefault="00DB0796" w:rsidP="00DB0796">
            <w:pPr>
              <w:pStyle w:val="Tabelid"/>
              <w:keepNext/>
            </w:pPr>
            <w:r w:rsidRPr="001D6947">
              <w:t>5. Keskkonnakaitse</w:t>
            </w:r>
          </w:p>
        </w:tc>
        <w:tc>
          <w:tcPr>
            <w:tcW w:w="447" w:type="pct"/>
          </w:tcPr>
          <w:p w14:paraId="2ACCBC71" w14:textId="7FDD28B9"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5</w:t>
            </w:r>
          </w:p>
        </w:tc>
        <w:tc>
          <w:tcPr>
            <w:tcW w:w="344" w:type="pct"/>
          </w:tcPr>
          <w:p w14:paraId="016C45DE" w14:textId="5B52B2B8"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344" w:type="pct"/>
          </w:tcPr>
          <w:p w14:paraId="0B660D07" w14:textId="78370D30"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0,7</w:t>
            </w:r>
          </w:p>
        </w:tc>
        <w:tc>
          <w:tcPr>
            <w:tcW w:w="344" w:type="pct"/>
          </w:tcPr>
          <w:p w14:paraId="650E6E14" w14:textId="2ACFF01F"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343" w:type="pct"/>
          </w:tcPr>
          <w:p w14:paraId="75A1D95E" w14:textId="37B6ECC7"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344" w:type="pct"/>
          </w:tcPr>
          <w:p w14:paraId="5D1CDEC3" w14:textId="2CAE00C5"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343" w:type="pct"/>
          </w:tcPr>
          <w:p w14:paraId="1DE86BD6" w14:textId="49D21D26"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344" w:type="pct"/>
          </w:tcPr>
          <w:p w14:paraId="379AC32B" w14:textId="6A758925"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343" w:type="pct"/>
          </w:tcPr>
          <w:p w14:paraId="2404B94C" w14:textId="42BE34F6"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c>
          <w:tcPr>
            <w:tcW w:w="335" w:type="pct"/>
          </w:tcPr>
          <w:p w14:paraId="2B74C840" w14:textId="7D484F14"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0,6</w:t>
            </w:r>
          </w:p>
        </w:tc>
      </w:tr>
      <w:tr w:rsidR="00DB0796" w:rsidRPr="001D6947" w14:paraId="05207B91" w14:textId="3A330383" w:rsidTr="00DB0796">
        <w:trPr>
          <w:trHeight w:val="57"/>
        </w:trPr>
        <w:tc>
          <w:tcPr>
            <w:cnfStyle w:val="001000000000" w:firstRow="0" w:lastRow="0" w:firstColumn="1" w:lastColumn="0" w:oddVBand="0" w:evenVBand="0" w:oddHBand="0" w:evenHBand="0" w:firstRowFirstColumn="0" w:firstRowLastColumn="0" w:lastRowFirstColumn="0" w:lastRowLastColumn="0"/>
            <w:tcW w:w="1470" w:type="pct"/>
          </w:tcPr>
          <w:p w14:paraId="36FBEC2F" w14:textId="7B618A2E" w:rsidR="00DB0796" w:rsidRPr="001D6947" w:rsidRDefault="00DB0796" w:rsidP="00DB0796">
            <w:pPr>
              <w:pStyle w:val="Tabelid"/>
              <w:keepNext/>
            </w:pPr>
            <w:r w:rsidRPr="001D6947">
              <w:t>6. Elamu- ja kommunaal</w:t>
            </w:r>
            <w:r w:rsidRPr="001D6947">
              <w:softHyphen/>
              <w:t>majandus</w:t>
            </w:r>
          </w:p>
        </w:tc>
        <w:tc>
          <w:tcPr>
            <w:tcW w:w="447" w:type="pct"/>
          </w:tcPr>
          <w:p w14:paraId="79A0A362" w14:textId="3EC8B47F"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6</w:t>
            </w:r>
          </w:p>
        </w:tc>
        <w:tc>
          <w:tcPr>
            <w:tcW w:w="344" w:type="pct"/>
          </w:tcPr>
          <w:p w14:paraId="55FDBCFF" w14:textId="0E9F3016"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344" w:type="pct"/>
          </w:tcPr>
          <w:p w14:paraId="22A8DE6A" w14:textId="7EB9902B"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0,4</w:t>
            </w:r>
          </w:p>
        </w:tc>
        <w:tc>
          <w:tcPr>
            <w:tcW w:w="344" w:type="pct"/>
          </w:tcPr>
          <w:p w14:paraId="43694D11" w14:textId="41D6BB0E"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343" w:type="pct"/>
          </w:tcPr>
          <w:p w14:paraId="39BE66BC" w14:textId="6412CB36"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344" w:type="pct"/>
          </w:tcPr>
          <w:p w14:paraId="587800CE" w14:textId="76CC96E7"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343" w:type="pct"/>
          </w:tcPr>
          <w:p w14:paraId="07D5413A" w14:textId="4817C43F"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344" w:type="pct"/>
          </w:tcPr>
          <w:p w14:paraId="0EC3B5C2" w14:textId="256F022A"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343" w:type="pct"/>
          </w:tcPr>
          <w:p w14:paraId="56B79DC9" w14:textId="1C261649"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c>
          <w:tcPr>
            <w:tcW w:w="335" w:type="pct"/>
          </w:tcPr>
          <w:p w14:paraId="521A7E46" w14:textId="1AFA78F4"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0,5</w:t>
            </w:r>
          </w:p>
        </w:tc>
      </w:tr>
      <w:tr w:rsidR="00DB0796" w:rsidRPr="001D6947" w14:paraId="1909129C" w14:textId="5D6B1A6C" w:rsidTr="00DB079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70" w:type="pct"/>
          </w:tcPr>
          <w:p w14:paraId="4A3123F8" w14:textId="3D31C4EA" w:rsidR="00DB0796" w:rsidRPr="001D6947" w:rsidRDefault="00DB0796" w:rsidP="00DB0796">
            <w:pPr>
              <w:pStyle w:val="Tabelid"/>
              <w:keepNext/>
            </w:pPr>
            <w:r w:rsidRPr="001D6947">
              <w:t>7. Tervishoid</w:t>
            </w:r>
          </w:p>
        </w:tc>
        <w:tc>
          <w:tcPr>
            <w:tcW w:w="447" w:type="pct"/>
          </w:tcPr>
          <w:p w14:paraId="5A3DC712" w14:textId="1DFE5DAC"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7</w:t>
            </w:r>
          </w:p>
        </w:tc>
        <w:tc>
          <w:tcPr>
            <w:tcW w:w="344" w:type="pct"/>
          </w:tcPr>
          <w:p w14:paraId="2C657DA7" w14:textId="0C047D68"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5,4</w:t>
            </w:r>
          </w:p>
        </w:tc>
        <w:tc>
          <w:tcPr>
            <w:tcW w:w="344" w:type="pct"/>
          </w:tcPr>
          <w:p w14:paraId="0F0ADF8C" w14:textId="6E23F2FF"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6,6</w:t>
            </w:r>
          </w:p>
        </w:tc>
        <w:tc>
          <w:tcPr>
            <w:tcW w:w="344" w:type="pct"/>
          </w:tcPr>
          <w:p w14:paraId="2F2EC7D1" w14:textId="28E82744"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6,5</w:t>
            </w:r>
          </w:p>
        </w:tc>
        <w:tc>
          <w:tcPr>
            <w:tcW w:w="343" w:type="pct"/>
          </w:tcPr>
          <w:p w14:paraId="30B45B1E" w14:textId="7A30659D"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5,9</w:t>
            </w:r>
          </w:p>
        </w:tc>
        <w:tc>
          <w:tcPr>
            <w:tcW w:w="344" w:type="pct"/>
          </w:tcPr>
          <w:p w14:paraId="12185E99" w14:textId="67406190"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6,1</w:t>
            </w:r>
          </w:p>
        </w:tc>
        <w:tc>
          <w:tcPr>
            <w:tcW w:w="343" w:type="pct"/>
          </w:tcPr>
          <w:p w14:paraId="33603E39" w14:textId="0DEEC7DD"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6,2</w:t>
            </w:r>
          </w:p>
        </w:tc>
        <w:tc>
          <w:tcPr>
            <w:tcW w:w="344" w:type="pct"/>
          </w:tcPr>
          <w:p w14:paraId="4BF1DF1C" w14:textId="7DA6EF10"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6,3</w:t>
            </w:r>
          </w:p>
        </w:tc>
        <w:tc>
          <w:tcPr>
            <w:tcW w:w="343" w:type="pct"/>
          </w:tcPr>
          <w:p w14:paraId="241FF5EA" w14:textId="7198B166"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6,4</w:t>
            </w:r>
          </w:p>
        </w:tc>
        <w:tc>
          <w:tcPr>
            <w:tcW w:w="335" w:type="pct"/>
          </w:tcPr>
          <w:p w14:paraId="70E176A6" w14:textId="21C053EE"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6,5</w:t>
            </w:r>
          </w:p>
        </w:tc>
      </w:tr>
      <w:tr w:rsidR="00DB0796" w:rsidRPr="001D6947" w14:paraId="77DDD39B" w14:textId="1491C135" w:rsidTr="00DB0796">
        <w:trPr>
          <w:trHeight w:val="57"/>
        </w:trPr>
        <w:tc>
          <w:tcPr>
            <w:cnfStyle w:val="001000000000" w:firstRow="0" w:lastRow="0" w:firstColumn="1" w:lastColumn="0" w:oddVBand="0" w:evenVBand="0" w:oddHBand="0" w:evenHBand="0" w:firstRowFirstColumn="0" w:firstRowLastColumn="0" w:lastRowFirstColumn="0" w:lastRowLastColumn="0"/>
            <w:tcW w:w="1470" w:type="pct"/>
          </w:tcPr>
          <w:p w14:paraId="0C1BB18F" w14:textId="66BD549C" w:rsidR="00DB0796" w:rsidRPr="001D6947" w:rsidRDefault="00DB0796" w:rsidP="00DB0796">
            <w:pPr>
              <w:pStyle w:val="Tabelid"/>
              <w:keepNext/>
            </w:pPr>
            <w:r w:rsidRPr="001D6947">
              <w:t>8. Vaba aeg, kultuur ja religioon</w:t>
            </w:r>
          </w:p>
        </w:tc>
        <w:tc>
          <w:tcPr>
            <w:tcW w:w="447" w:type="pct"/>
          </w:tcPr>
          <w:p w14:paraId="1D7767FC" w14:textId="7745659A"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8</w:t>
            </w:r>
          </w:p>
        </w:tc>
        <w:tc>
          <w:tcPr>
            <w:tcW w:w="344" w:type="pct"/>
          </w:tcPr>
          <w:p w14:paraId="1F0497FA" w14:textId="234BC837"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2,0</w:t>
            </w:r>
          </w:p>
        </w:tc>
        <w:tc>
          <w:tcPr>
            <w:tcW w:w="344" w:type="pct"/>
          </w:tcPr>
          <w:p w14:paraId="08DCE865" w14:textId="167C3E7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2,0</w:t>
            </w:r>
          </w:p>
        </w:tc>
        <w:tc>
          <w:tcPr>
            <w:tcW w:w="344" w:type="pct"/>
          </w:tcPr>
          <w:p w14:paraId="1DCC26DC" w14:textId="2AC8F3F0"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343" w:type="pct"/>
          </w:tcPr>
          <w:p w14:paraId="3BFB9A4B" w14:textId="7B56B234"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344" w:type="pct"/>
          </w:tcPr>
          <w:p w14:paraId="3E5AF6F4" w14:textId="2C47C1F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343" w:type="pct"/>
          </w:tcPr>
          <w:p w14:paraId="461882E4" w14:textId="24D52BAE"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344" w:type="pct"/>
          </w:tcPr>
          <w:p w14:paraId="42C0C1F6" w14:textId="1E4859E0"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343" w:type="pct"/>
          </w:tcPr>
          <w:p w14:paraId="534A8F0E" w14:textId="717467E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c>
          <w:tcPr>
            <w:tcW w:w="335" w:type="pct"/>
          </w:tcPr>
          <w:p w14:paraId="36ADCE52" w14:textId="6E60AC9E"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2,1</w:t>
            </w:r>
          </w:p>
        </w:tc>
      </w:tr>
      <w:tr w:rsidR="00DB0796" w:rsidRPr="001D6947" w14:paraId="604943AE" w14:textId="44D0DEE1" w:rsidTr="00DB079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70" w:type="pct"/>
          </w:tcPr>
          <w:p w14:paraId="140BC7F7" w14:textId="4C5912D9" w:rsidR="00DB0796" w:rsidRPr="001D6947" w:rsidRDefault="00DB0796" w:rsidP="00DB0796">
            <w:pPr>
              <w:pStyle w:val="Tabelid"/>
              <w:keepNext/>
            </w:pPr>
            <w:r w:rsidRPr="001D6947">
              <w:t>9. Haridus</w:t>
            </w:r>
          </w:p>
        </w:tc>
        <w:tc>
          <w:tcPr>
            <w:tcW w:w="447" w:type="pct"/>
          </w:tcPr>
          <w:p w14:paraId="2302FC84" w14:textId="58E2FF40"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9</w:t>
            </w:r>
          </w:p>
        </w:tc>
        <w:tc>
          <w:tcPr>
            <w:tcW w:w="344" w:type="pct"/>
          </w:tcPr>
          <w:p w14:paraId="5A8B2DC4" w14:textId="2D4C99C2"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5,9</w:t>
            </w:r>
          </w:p>
        </w:tc>
        <w:tc>
          <w:tcPr>
            <w:tcW w:w="344" w:type="pct"/>
          </w:tcPr>
          <w:p w14:paraId="449E06C1" w14:textId="459D6F8D"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6,4</w:t>
            </w:r>
          </w:p>
        </w:tc>
        <w:tc>
          <w:tcPr>
            <w:tcW w:w="344" w:type="pct"/>
          </w:tcPr>
          <w:p w14:paraId="7D75F9CB" w14:textId="381897E3"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6,0</w:t>
            </w:r>
          </w:p>
        </w:tc>
        <w:tc>
          <w:tcPr>
            <w:tcW w:w="343" w:type="pct"/>
          </w:tcPr>
          <w:p w14:paraId="31FCDF3A" w14:textId="4C2493C6"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5,6</w:t>
            </w:r>
          </w:p>
        </w:tc>
        <w:tc>
          <w:tcPr>
            <w:tcW w:w="344" w:type="pct"/>
          </w:tcPr>
          <w:p w14:paraId="4D0C7EEC" w14:textId="41569F31"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6,1</w:t>
            </w:r>
          </w:p>
        </w:tc>
        <w:tc>
          <w:tcPr>
            <w:tcW w:w="343" w:type="pct"/>
          </w:tcPr>
          <w:p w14:paraId="16E26296" w14:textId="541852E0"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6,1</w:t>
            </w:r>
          </w:p>
        </w:tc>
        <w:tc>
          <w:tcPr>
            <w:tcW w:w="344" w:type="pct"/>
          </w:tcPr>
          <w:p w14:paraId="736E0F2E" w14:textId="0AC955E3"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6,0</w:t>
            </w:r>
          </w:p>
        </w:tc>
        <w:tc>
          <w:tcPr>
            <w:tcW w:w="343" w:type="pct"/>
          </w:tcPr>
          <w:p w14:paraId="4876D47A" w14:textId="6FBB17A5"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6,1</w:t>
            </w:r>
          </w:p>
        </w:tc>
        <w:tc>
          <w:tcPr>
            <w:tcW w:w="335" w:type="pct"/>
          </w:tcPr>
          <w:p w14:paraId="1C033555" w14:textId="1223B6B5"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pPr>
            <w:r w:rsidRPr="001D6947">
              <w:t>6,0</w:t>
            </w:r>
          </w:p>
        </w:tc>
      </w:tr>
      <w:tr w:rsidR="00DB0796" w:rsidRPr="001D6947" w14:paraId="6468A577" w14:textId="4221BE51" w:rsidTr="00DB0796">
        <w:trPr>
          <w:trHeight w:val="57"/>
        </w:trPr>
        <w:tc>
          <w:tcPr>
            <w:cnfStyle w:val="001000000000" w:firstRow="0" w:lastRow="0" w:firstColumn="1" w:lastColumn="0" w:oddVBand="0" w:evenVBand="0" w:oddHBand="0" w:evenHBand="0" w:firstRowFirstColumn="0" w:firstRowLastColumn="0" w:lastRowFirstColumn="0" w:lastRowLastColumn="0"/>
            <w:tcW w:w="1470" w:type="pct"/>
          </w:tcPr>
          <w:p w14:paraId="75B660AB" w14:textId="2A965DCE" w:rsidR="00DB0796" w:rsidRPr="001D6947" w:rsidRDefault="00DB0796" w:rsidP="00DB0796">
            <w:pPr>
              <w:pStyle w:val="Tabelid"/>
              <w:keepNext/>
            </w:pPr>
            <w:r w:rsidRPr="001D6947">
              <w:t>10. Sotsiaalne kaitse</w:t>
            </w:r>
          </w:p>
        </w:tc>
        <w:tc>
          <w:tcPr>
            <w:tcW w:w="447" w:type="pct"/>
          </w:tcPr>
          <w:p w14:paraId="70A786FD" w14:textId="49A3E2F7"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10</w:t>
            </w:r>
          </w:p>
        </w:tc>
        <w:tc>
          <w:tcPr>
            <w:tcW w:w="344" w:type="pct"/>
          </w:tcPr>
          <w:p w14:paraId="289C9EB2" w14:textId="6EB36EA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12,3</w:t>
            </w:r>
          </w:p>
        </w:tc>
        <w:tc>
          <w:tcPr>
            <w:tcW w:w="344" w:type="pct"/>
          </w:tcPr>
          <w:p w14:paraId="65F29650" w14:textId="4B0D0AA7"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14,7</w:t>
            </w:r>
          </w:p>
        </w:tc>
        <w:tc>
          <w:tcPr>
            <w:tcW w:w="344" w:type="pct"/>
          </w:tcPr>
          <w:p w14:paraId="267D6563" w14:textId="1A2C0DA0"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13,6</w:t>
            </w:r>
          </w:p>
        </w:tc>
        <w:tc>
          <w:tcPr>
            <w:tcW w:w="343" w:type="pct"/>
          </w:tcPr>
          <w:p w14:paraId="33A75724" w14:textId="31A10D99"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12,4</w:t>
            </w:r>
          </w:p>
        </w:tc>
        <w:tc>
          <w:tcPr>
            <w:tcW w:w="344" w:type="pct"/>
          </w:tcPr>
          <w:p w14:paraId="35C6C131" w14:textId="5448A838"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13,2</w:t>
            </w:r>
          </w:p>
        </w:tc>
        <w:tc>
          <w:tcPr>
            <w:tcW w:w="343" w:type="pct"/>
          </w:tcPr>
          <w:p w14:paraId="69E26E31" w14:textId="45C7E012"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13,4</w:t>
            </w:r>
          </w:p>
        </w:tc>
        <w:tc>
          <w:tcPr>
            <w:tcW w:w="344" w:type="pct"/>
          </w:tcPr>
          <w:p w14:paraId="24EE48B9" w14:textId="3631CC6F"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13,7</w:t>
            </w:r>
          </w:p>
        </w:tc>
        <w:tc>
          <w:tcPr>
            <w:tcW w:w="343" w:type="pct"/>
          </w:tcPr>
          <w:p w14:paraId="6266ABBC" w14:textId="5A7EAE13"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14,0</w:t>
            </w:r>
          </w:p>
        </w:tc>
        <w:tc>
          <w:tcPr>
            <w:tcW w:w="335" w:type="pct"/>
          </w:tcPr>
          <w:p w14:paraId="238F0B5C" w14:textId="2BE79F2B" w:rsidR="00DB0796" w:rsidRPr="001D6947" w:rsidRDefault="00DB0796" w:rsidP="00DB0796">
            <w:pPr>
              <w:pStyle w:val="Tabelid"/>
              <w:jc w:val="right"/>
              <w:cnfStyle w:val="000000000000" w:firstRow="0" w:lastRow="0" w:firstColumn="0" w:lastColumn="0" w:oddVBand="0" w:evenVBand="0" w:oddHBand="0" w:evenHBand="0" w:firstRowFirstColumn="0" w:firstRowLastColumn="0" w:lastRowFirstColumn="0" w:lastRowLastColumn="0"/>
            </w:pPr>
            <w:r w:rsidRPr="001D6947">
              <w:t>14,2</w:t>
            </w:r>
          </w:p>
        </w:tc>
      </w:tr>
      <w:tr w:rsidR="00DB0796" w:rsidRPr="001D6947" w14:paraId="0466E112" w14:textId="41B38B68" w:rsidTr="00DB0796">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1470" w:type="pct"/>
          </w:tcPr>
          <w:p w14:paraId="1DA0B248" w14:textId="673C3A4F" w:rsidR="00DB0796" w:rsidRPr="001D6947" w:rsidRDefault="00DB0796" w:rsidP="00DB0796">
            <w:pPr>
              <w:pStyle w:val="Tabelid"/>
              <w:keepNext/>
            </w:pPr>
            <w:r w:rsidRPr="001D6947">
              <w:t>11. Valitsussektori kulud kokku</w:t>
            </w:r>
          </w:p>
        </w:tc>
        <w:tc>
          <w:tcPr>
            <w:tcW w:w="447" w:type="pct"/>
          </w:tcPr>
          <w:p w14:paraId="38E424C9" w14:textId="68F312B1"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TE</w:t>
            </w:r>
          </w:p>
        </w:tc>
        <w:tc>
          <w:tcPr>
            <w:tcW w:w="344" w:type="pct"/>
          </w:tcPr>
          <w:p w14:paraId="3937E27B" w14:textId="372CBE47"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38,</w:t>
            </w:r>
            <w:r w:rsidR="00E858BE">
              <w:rPr>
                <w:b/>
                <w:bCs/>
              </w:rPr>
              <w:t>8</w:t>
            </w:r>
          </w:p>
        </w:tc>
        <w:tc>
          <w:tcPr>
            <w:tcW w:w="344" w:type="pct"/>
          </w:tcPr>
          <w:p w14:paraId="23640871" w14:textId="3668BE71"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44,9</w:t>
            </w:r>
          </w:p>
        </w:tc>
        <w:tc>
          <w:tcPr>
            <w:tcW w:w="344" w:type="pct"/>
          </w:tcPr>
          <w:p w14:paraId="4FA48D39" w14:textId="2E004057"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41,8</w:t>
            </w:r>
          </w:p>
        </w:tc>
        <w:tc>
          <w:tcPr>
            <w:tcW w:w="343" w:type="pct"/>
          </w:tcPr>
          <w:p w14:paraId="76CAAA0E" w14:textId="55B2C03A"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39,6</w:t>
            </w:r>
          </w:p>
        </w:tc>
        <w:tc>
          <w:tcPr>
            <w:tcW w:w="344" w:type="pct"/>
          </w:tcPr>
          <w:p w14:paraId="57EADFEF" w14:textId="2797474C"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43,1</w:t>
            </w:r>
          </w:p>
        </w:tc>
        <w:tc>
          <w:tcPr>
            <w:tcW w:w="343" w:type="pct"/>
          </w:tcPr>
          <w:p w14:paraId="541269F8" w14:textId="49687E3E"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42,5</w:t>
            </w:r>
          </w:p>
        </w:tc>
        <w:tc>
          <w:tcPr>
            <w:tcW w:w="344" w:type="pct"/>
          </w:tcPr>
          <w:p w14:paraId="689DAF9C" w14:textId="0743AFCE"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42,1</w:t>
            </w:r>
          </w:p>
        </w:tc>
        <w:tc>
          <w:tcPr>
            <w:tcW w:w="343" w:type="pct"/>
          </w:tcPr>
          <w:p w14:paraId="35CF2955" w14:textId="2CFC163D"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42,7</w:t>
            </w:r>
          </w:p>
        </w:tc>
        <w:tc>
          <w:tcPr>
            <w:tcW w:w="335" w:type="pct"/>
          </w:tcPr>
          <w:p w14:paraId="1FF7FD75" w14:textId="0C11F2E3" w:rsidR="00DB0796" w:rsidRPr="001D6947" w:rsidRDefault="00DB0796" w:rsidP="00DB0796">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1D6947">
              <w:rPr>
                <w:b/>
                <w:bCs/>
              </w:rPr>
              <w:t>42,1</w:t>
            </w:r>
          </w:p>
        </w:tc>
      </w:tr>
    </w:tbl>
    <w:p w14:paraId="79D52A81" w14:textId="54D7A541" w:rsidR="00831AD9" w:rsidRPr="001D6947" w:rsidRDefault="00831AD9" w:rsidP="00831AD9">
      <w:pPr>
        <w:pStyle w:val="Mrkus"/>
      </w:pPr>
      <w:bookmarkStart w:id="262" w:name="_Ref511290385"/>
      <w:r w:rsidRPr="001D6947">
        <w:t>Allikad: Eesti Statistikaamet, Rahandusministeerium.</w:t>
      </w:r>
    </w:p>
    <w:bookmarkEnd w:id="262"/>
    <w:p w14:paraId="113A6751" w14:textId="0B1AE02F" w:rsidR="004C5163" w:rsidRPr="00414819" w:rsidRDefault="004C5163" w:rsidP="00831AD9">
      <w:pPr>
        <w:pStyle w:val="Phitekst"/>
        <w:rPr>
          <w:highlight w:val="yellow"/>
        </w:rPr>
      </w:pPr>
    </w:p>
    <w:p w14:paraId="15770CB5" w14:textId="013C6FD4" w:rsidR="00831AD9" w:rsidRPr="001D6947" w:rsidRDefault="00831AD9" w:rsidP="00E54FF2">
      <w:pPr>
        <w:pStyle w:val="Caption"/>
      </w:pPr>
      <w:bookmarkStart w:id="263" w:name="_Ref81862174"/>
      <w:bookmarkStart w:id="264" w:name="_Toc143775556"/>
      <w:bookmarkEnd w:id="253"/>
      <w:bookmarkEnd w:id="254"/>
      <w:bookmarkEnd w:id="255"/>
      <w:bookmarkEnd w:id="256"/>
      <w:r w:rsidRPr="001D6947">
        <w:t xml:space="preserve">Tabel </w:t>
      </w:r>
      <w:r w:rsidR="004C0EAE">
        <w:fldChar w:fldCharType="begin"/>
      </w:r>
      <w:r w:rsidR="004C0EAE">
        <w:instrText xml:space="preserve"> SEQ Tabel \* ARABIC </w:instrText>
      </w:r>
      <w:r w:rsidR="004C0EAE">
        <w:fldChar w:fldCharType="separate"/>
      </w:r>
      <w:r w:rsidR="00D84B51">
        <w:rPr>
          <w:noProof/>
        </w:rPr>
        <w:t>15</w:t>
      </w:r>
      <w:r w:rsidR="004C0EAE">
        <w:rPr>
          <w:noProof/>
        </w:rPr>
        <w:fldChar w:fldCharType="end"/>
      </w:r>
      <w:bookmarkEnd w:id="263"/>
      <w:r w:rsidRPr="001D6947">
        <w:t>. Tsükliliselt tasandatud eelarvepositsioon aastatel 20</w:t>
      </w:r>
      <w:r w:rsidR="00B855BB" w:rsidRPr="001D6947">
        <w:t>20</w:t>
      </w:r>
      <w:r w:rsidRPr="001D6947">
        <w:t>–202</w:t>
      </w:r>
      <w:r w:rsidR="000065F7" w:rsidRPr="001D6947">
        <w:t>7</w:t>
      </w:r>
      <w:r w:rsidRPr="001D6947">
        <w:t xml:space="preserve"> (% SKPst)</w:t>
      </w:r>
      <w:bookmarkEnd w:id="264"/>
    </w:p>
    <w:tbl>
      <w:tblPr>
        <w:tblStyle w:val="TableSubtle1"/>
        <w:tblW w:w="5044" w:type="pct"/>
        <w:tblLayout w:type="fixed"/>
        <w:tblLook w:val="04A0" w:firstRow="1" w:lastRow="0" w:firstColumn="1" w:lastColumn="0" w:noHBand="0" w:noVBand="1"/>
      </w:tblPr>
      <w:tblGrid>
        <w:gridCol w:w="3170"/>
        <w:gridCol w:w="1010"/>
        <w:gridCol w:w="733"/>
        <w:gridCol w:w="733"/>
        <w:gridCol w:w="733"/>
        <w:gridCol w:w="735"/>
        <w:gridCol w:w="733"/>
        <w:gridCol w:w="735"/>
        <w:gridCol w:w="733"/>
        <w:gridCol w:w="751"/>
      </w:tblGrid>
      <w:tr w:rsidR="00FA7B41" w:rsidRPr="001D6947" w14:paraId="7C9CE5F0" w14:textId="77777777" w:rsidTr="00D73D0B">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1575" w:type="pct"/>
          </w:tcPr>
          <w:p w14:paraId="132F3839" w14:textId="77777777" w:rsidR="00FA7B41" w:rsidRPr="001D6947" w:rsidRDefault="00FA7B41" w:rsidP="006117CC">
            <w:pPr>
              <w:pStyle w:val="Tabelid"/>
            </w:pPr>
          </w:p>
        </w:tc>
        <w:tc>
          <w:tcPr>
            <w:tcW w:w="502" w:type="pct"/>
          </w:tcPr>
          <w:p w14:paraId="158CAC97" w14:textId="30F615E8"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2001–19</w:t>
            </w:r>
          </w:p>
        </w:tc>
        <w:tc>
          <w:tcPr>
            <w:tcW w:w="364" w:type="pct"/>
          </w:tcPr>
          <w:p w14:paraId="3C13B644" w14:textId="0149D0A6"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2020</w:t>
            </w:r>
          </w:p>
        </w:tc>
        <w:tc>
          <w:tcPr>
            <w:tcW w:w="364" w:type="pct"/>
          </w:tcPr>
          <w:p w14:paraId="50C5D414" w14:textId="5F899486"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2021</w:t>
            </w:r>
          </w:p>
        </w:tc>
        <w:tc>
          <w:tcPr>
            <w:tcW w:w="364" w:type="pct"/>
          </w:tcPr>
          <w:p w14:paraId="5065D815" w14:textId="68FBB874"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2022</w:t>
            </w:r>
          </w:p>
        </w:tc>
        <w:tc>
          <w:tcPr>
            <w:tcW w:w="365" w:type="pct"/>
          </w:tcPr>
          <w:p w14:paraId="6E1F8F25" w14:textId="0364BC91"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2023</w:t>
            </w:r>
          </w:p>
        </w:tc>
        <w:tc>
          <w:tcPr>
            <w:tcW w:w="364" w:type="pct"/>
          </w:tcPr>
          <w:p w14:paraId="4BC35F66" w14:textId="62198154"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2024</w:t>
            </w:r>
          </w:p>
        </w:tc>
        <w:tc>
          <w:tcPr>
            <w:tcW w:w="365" w:type="pct"/>
          </w:tcPr>
          <w:p w14:paraId="212FA7B2" w14:textId="530A8FEE"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2025</w:t>
            </w:r>
          </w:p>
        </w:tc>
        <w:tc>
          <w:tcPr>
            <w:tcW w:w="364" w:type="pct"/>
          </w:tcPr>
          <w:p w14:paraId="3C4110C3" w14:textId="5E1C82EE"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2026</w:t>
            </w:r>
          </w:p>
        </w:tc>
        <w:tc>
          <w:tcPr>
            <w:tcW w:w="373" w:type="pct"/>
          </w:tcPr>
          <w:p w14:paraId="272CCC0D" w14:textId="4C2BDE08" w:rsidR="00FA7B41" w:rsidRPr="001D6947" w:rsidRDefault="00FA7B41" w:rsidP="006117CC">
            <w:pPr>
              <w:pStyle w:val="Tabelid"/>
              <w:cnfStyle w:val="100000000000" w:firstRow="1" w:lastRow="0" w:firstColumn="0" w:lastColumn="0" w:oddVBand="0" w:evenVBand="0" w:oddHBand="0" w:evenHBand="0" w:firstRowFirstColumn="0" w:firstRowLastColumn="0" w:lastRowFirstColumn="0" w:lastRowLastColumn="0"/>
            </w:pPr>
            <w:r w:rsidRPr="001D6947">
              <w:t>2027</w:t>
            </w:r>
          </w:p>
        </w:tc>
      </w:tr>
      <w:tr w:rsidR="001D6947" w:rsidRPr="001D6947" w14:paraId="2B97187C" w14:textId="77777777" w:rsidTr="009C62A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75" w:type="pct"/>
          </w:tcPr>
          <w:p w14:paraId="2A2E1283" w14:textId="77777777" w:rsidR="001D6947" w:rsidRPr="001D6947" w:rsidRDefault="001D6947" w:rsidP="001D6947">
            <w:pPr>
              <w:pStyle w:val="Tabelid"/>
            </w:pPr>
            <w:r w:rsidRPr="001D6947">
              <w:t>1. SKP reaalkasv (%)</w:t>
            </w:r>
          </w:p>
        </w:tc>
        <w:tc>
          <w:tcPr>
            <w:tcW w:w="502" w:type="pct"/>
            <w:vAlign w:val="bottom"/>
          </w:tcPr>
          <w:p w14:paraId="4488FBD7" w14:textId="6A24F7EC"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3,7</w:t>
            </w:r>
          </w:p>
        </w:tc>
        <w:tc>
          <w:tcPr>
            <w:tcW w:w="364" w:type="pct"/>
            <w:vAlign w:val="bottom"/>
          </w:tcPr>
          <w:p w14:paraId="601396D5" w14:textId="11849CCC"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-1,0</w:t>
            </w:r>
          </w:p>
        </w:tc>
        <w:tc>
          <w:tcPr>
            <w:tcW w:w="364" w:type="pct"/>
            <w:vAlign w:val="bottom"/>
          </w:tcPr>
          <w:p w14:paraId="56322F2F" w14:textId="737D8C7D"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7,2</w:t>
            </w:r>
          </w:p>
        </w:tc>
        <w:tc>
          <w:tcPr>
            <w:tcW w:w="364" w:type="pct"/>
            <w:vAlign w:val="bottom"/>
          </w:tcPr>
          <w:p w14:paraId="5E49143C" w14:textId="7A42D779"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-0,5</w:t>
            </w:r>
          </w:p>
        </w:tc>
        <w:tc>
          <w:tcPr>
            <w:tcW w:w="365" w:type="pct"/>
            <w:vAlign w:val="bottom"/>
          </w:tcPr>
          <w:p w14:paraId="349A2CCC" w14:textId="5398CBBE"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-2,0</w:t>
            </w:r>
          </w:p>
        </w:tc>
        <w:tc>
          <w:tcPr>
            <w:tcW w:w="364" w:type="pct"/>
            <w:vAlign w:val="bottom"/>
          </w:tcPr>
          <w:p w14:paraId="19B55046" w14:textId="032D0633"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2,7</w:t>
            </w:r>
          </w:p>
        </w:tc>
        <w:tc>
          <w:tcPr>
            <w:tcW w:w="365" w:type="pct"/>
            <w:vAlign w:val="bottom"/>
          </w:tcPr>
          <w:p w14:paraId="5BD54FD1" w14:textId="2CC1609B"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3,0</w:t>
            </w:r>
          </w:p>
        </w:tc>
        <w:tc>
          <w:tcPr>
            <w:tcW w:w="364" w:type="pct"/>
            <w:vAlign w:val="bottom"/>
          </w:tcPr>
          <w:p w14:paraId="2163DC38" w14:textId="5A4D224D"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2,5</w:t>
            </w:r>
          </w:p>
        </w:tc>
        <w:tc>
          <w:tcPr>
            <w:tcW w:w="373" w:type="pct"/>
            <w:vAlign w:val="bottom"/>
          </w:tcPr>
          <w:p w14:paraId="0F041B46" w14:textId="4C5D3874"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2,2</w:t>
            </w:r>
          </w:p>
        </w:tc>
      </w:tr>
      <w:tr w:rsidR="00096183" w:rsidRPr="001D6947" w14:paraId="16058303" w14:textId="77777777" w:rsidTr="00D73D0B">
        <w:trPr>
          <w:trHeight w:val="255"/>
        </w:trPr>
        <w:tc>
          <w:tcPr>
            <w:cnfStyle w:val="001000000000" w:firstRow="0" w:lastRow="0" w:firstColumn="1" w:lastColumn="0" w:oddVBand="0" w:evenVBand="0" w:oddHBand="0" w:evenHBand="0" w:firstRowFirstColumn="0" w:firstRowLastColumn="0" w:lastRowFirstColumn="0" w:lastRowLastColumn="0"/>
            <w:tcW w:w="1575" w:type="pct"/>
          </w:tcPr>
          <w:p w14:paraId="5E930E88" w14:textId="77777777" w:rsidR="00096183" w:rsidRPr="001D6947" w:rsidRDefault="00096183" w:rsidP="00096183">
            <w:pPr>
              <w:pStyle w:val="Tabelid"/>
            </w:pPr>
            <w:r w:rsidRPr="001D6947">
              <w:t>2. Valitsussektori eelarve</w:t>
            </w:r>
            <w:r w:rsidRPr="001D6947">
              <w:softHyphen/>
              <w:t>positsioon</w:t>
            </w:r>
          </w:p>
        </w:tc>
        <w:tc>
          <w:tcPr>
            <w:tcW w:w="502" w:type="pct"/>
            <w:vAlign w:val="center"/>
          </w:tcPr>
          <w:p w14:paraId="4AA16E2B" w14:textId="3D7AF97E"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t>-</w:t>
            </w:r>
          </w:p>
        </w:tc>
        <w:tc>
          <w:tcPr>
            <w:tcW w:w="364" w:type="pct"/>
            <w:vAlign w:val="center"/>
          </w:tcPr>
          <w:p w14:paraId="6FC6A0BA" w14:textId="016E0D1C"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-5,5</w:t>
            </w:r>
          </w:p>
        </w:tc>
        <w:tc>
          <w:tcPr>
            <w:tcW w:w="364" w:type="pct"/>
            <w:vAlign w:val="center"/>
          </w:tcPr>
          <w:p w14:paraId="2E0C3DA4" w14:textId="02372FC7"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rPr>
                <w:rFonts w:cs="Calibri"/>
                <w:color w:val="000000"/>
                <w:szCs w:val="20"/>
              </w:rPr>
              <w:t>-2,4</w:t>
            </w:r>
          </w:p>
        </w:tc>
        <w:tc>
          <w:tcPr>
            <w:tcW w:w="364" w:type="pct"/>
            <w:vAlign w:val="center"/>
          </w:tcPr>
          <w:p w14:paraId="26A58423" w14:textId="55B20B9E"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rPr>
                <w:rFonts w:cs="Calibri"/>
                <w:color w:val="000000"/>
                <w:szCs w:val="20"/>
              </w:rPr>
              <w:t>-0,9</w:t>
            </w:r>
          </w:p>
        </w:tc>
        <w:tc>
          <w:tcPr>
            <w:tcW w:w="365" w:type="pct"/>
            <w:vAlign w:val="center"/>
          </w:tcPr>
          <w:p w14:paraId="36CAF819" w14:textId="684E86CA"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rPr>
                <w:rFonts w:cs="Calibri"/>
                <w:color w:val="000000"/>
                <w:szCs w:val="20"/>
              </w:rPr>
              <w:t>-3</w:t>
            </w:r>
            <w:r w:rsidR="006A3CD5" w:rsidRPr="001D6947">
              <w:rPr>
                <w:rFonts w:cs="Calibri"/>
                <w:color w:val="000000"/>
                <w:szCs w:val="20"/>
              </w:rPr>
              <w:t>,3</w:t>
            </w:r>
          </w:p>
        </w:tc>
        <w:tc>
          <w:tcPr>
            <w:tcW w:w="364" w:type="pct"/>
            <w:vAlign w:val="center"/>
          </w:tcPr>
          <w:p w14:paraId="239CB891" w14:textId="07238F04"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rPr>
                <w:rFonts w:cs="Calibri"/>
                <w:color w:val="000000"/>
                <w:szCs w:val="20"/>
              </w:rPr>
              <w:t>-2,9</w:t>
            </w:r>
          </w:p>
        </w:tc>
        <w:tc>
          <w:tcPr>
            <w:tcW w:w="365" w:type="pct"/>
            <w:vAlign w:val="center"/>
          </w:tcPr>
          <w:p w14:paraId="4E615237" w14:textId="3343686E"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rPr>
                <w:rFonts w:cs="Calibri"/>
                <w:color w:val="000000"/>
                <w:szCs w:val="20"/>
              </w:rPr>
              <w:t>-4,</w:t>
            </w:r>
            <w:r w:rsidR="006A3CD5" w:rsidRPr="001D6947">
              <w:rPr>
                <w:rFonts w:cs="Calibri"/>
                <w:color w:val="000000"/>
                <w:szCs w:val="20"/>
              </w:rPr>
              <w:t>1</w:t>
            </w:r>
          </w:p>
        </w:tc>
        <w:tc>
          <w:tcPr>
            <w:tcW w:w="364" w:type="pct"/>
            <w:vAlign w:val="center"/>
          </w:tcPr>
          <w:p w14:paraId="069BE306" w14:textId="46E7F1D9"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rPr>
                <w:rFonts w:cs="Calibri"/>
                <w:color w:val="000000"/>
                <w:szCs w:val="20"/>
              </w:rPr>
              <w:t>-4,2</w:t>
            </w:r>
          </w:p>
        </w:tc>
        <w:tc>
          <w:tcPr>
            <w:tcW w:w="373" w:type="pct"/>
            <w:vAlign w:val="center"/>
          </w:tcPr>
          <w:p w14:paraId="256104E5" w14:textId="70C3FE74"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rPr>
                <w:rFonts w:cs="Calibri"/>
                <w:color w:val="000000"/>
                <w:szCs w:val="20"/>
              </w:rPr>
              <w:t>-4,4</w:t>
            </w:r>
          </w:p>
        </w:tc>
      </w:tr>
      <w:tr w:rsidR="00096183" w:rsidRPr="001D6947" w14:paraId="60C6820C" w14:textId="77777777" w:rsidTr="00D73D0B">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75" w:type="pct"/>
          </w:tcPr>
          <w:p w14:paraId="6C7FB7F2" w14:textId="77777777" w:rsidR="00096183" w:rsidRPr="001D6947" w:rsidRDefault="00096183" w:rsidP="00096183">
            <w:pPr>
              <w:pStyle w:val="Tabelid"/>
            </w:pPr>
            <w:r w:rsidRPr="001D6947">
              <w:t>3. Intressimaksed</w:t>
            </w:r>
          </w:p>
        </w:tc>
        <w:tc>
          <w:tcPr>
            <w:tcW w:w="502" w:type="pct"/>
            <w:vAlign w:val="center"/>
          </w:tcPr>
          <w:p w14:paraId="7AC09F0B" w14:textId="330D0CB0"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t>-</w:t>
            </w:r>
          </w:p>
        </w:tc>
        <w:tc>
          <w:tcPr>
            <w:tcW w:w="364" w:type="pct"/>
            <w:vAlign w:val="center"/>
          </w:tcPr>
          <w:p w14:paraId="4FF20EF5" w14:textId="768D5E5E"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0,0</w:t>
            </w:r>
          </w:p>
        </w:tc>
        <w:tc>
          <w:tcPr>
            <w:tcW w:w="364" w:type="pct"/>
            <w:vAlign w:val="center"/>
          </w:tcPr>
          <w:p w14:paraId="4AA26AFF" w14:textId="0BC89AD5"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rFonts w:cs="Calibri"/>
                <w:color w:val="000000"/>
                <w:szCs w:val="20"/>
              </w:rPr>
              <w:t>0,0</w:t>
            </w:r>
          </w:p>
        </w:tc>
        <w:tc>
          <w:tcPr>
            <w:tcW w:w="364" w:type="pct"/>
            <w:vAlign w:val="center"/>
          </w:tcPr>
          <w:p w14:paraId="53EF982B" w14:textId="59C21676"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rFonts w:cs="Calibri"/>
                <w:color w:val="000000"/>
                <w:szCs w:val="20"/>
              </w:rPr>
              <w:t>0,1</w:t>
            </w:r>
          </w:p>
        </w:tc>
        <w:tc>
          <w:tcPr>
            <w:tcW w:w="365" w:type="pct"/>
            <w:vAlign w:val="center"/>
          </w:tcPr>
          <w:p w14:paraId="29AD9A2A" w14:textId="70CC8D06"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rFonts w:cs="Calibri"/>
                <w:color w:val="000000"/>
                <w:szCs w:val="20"/>
              </w:rPr>
              <w:t>0,</w:t>
            </w:r>
            <w:r w:rsidR="005B4D5F">
              <w:rPr>
                <w:rFonts w:cs="Calibri"/>
                <w:color w:val="000000"/>
                <w:szCs w:val="20"/>
              </w:rPr>
              <w:t>5</w:t>
            </w:r>
          </w:p>
        </w:tc>
        <w:tc>
          <w:tcPr>
            <w:tcW w:w="364" w:type="pct"/>
            <w:vAlign w:val="center"/>
          </w:tcPr>
          <w:p w14:paraId="0400105B" w14:textId="71E85B16"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rFonts w:cs="Calibri"/>
                <w:color w:val="000000"/>
                <w:szCs w:val="20"/>
              </w:rPr>
              <w:t>0,6</w:t>
            </w:r>
          </w:p>
        </w:tc>
        <w:tc>
          <w:tcPr>
            <w:tcW w:w="365" w:type="pct"/>
            <w:vAlign w:val="center"/>
          </w:tcPr>
          <w:p w14:paraId="11803765" w14:textId="3AAFC14B"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rFonts w:cs="Calibri"/>
                <w:color w:val="000000"/>
                <w:szCs w:val="20"/>
              </w:rPr>
              <w:t>0,7</w:t>
            </w:r>
          </w:p>
        </w:tc>
        <w:tc>
          <w:tcPr>
            <w:tcW w:w="364" w:type="pct"/>
            <w:vAlign w:val="center"/>
          </w:tcPr>
          <w:p w14:paraId="7ED9EA57" w14:textId="5AE3FF98"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rFonts w:cs="Calibri"/>
                <w:color w:val="000000"/>
                <w:szCs w:val="20"/>
              </w:rPr>
              <w:t>0,8</w:t>
            </w:r>
          </w:p>
        </w:tc>
        <w:tc>
          <w:tcPr>
            <w:tcW w:w="373" w:type="pct"/>
            <w:vAlign w:val="center"/>
          </w:tcPr>
          <w:p w14:paraId="090004D8" w14:textId="33B97346"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rFonts w:cs="Calibri"/>
                <w:color w:val="000000"/>
                <w:szCs w:val="20"/>
              </w:rPr>
              <w:t>1,0</w:t>
            </w:r>
          </w:p>
        </w:tc>
      </w:tr>
      <w:tr w:rsidR="001D6947" w:rsidRPr="001D6947" w14:paraId="0E76DCC7" w14:textId="77777777" w:rsidTr="00295950">
        <w:trPr>
          <w:trHeight w:val="255"/>
        </w:trPr>
        <w:tc>
          <w:tcPr>
            <w:cnfStyle w:val="001000000000" w:firstRow="0" w:lastRow="0" w:firstColumn="1" w:lastColumn="0" w:oddVBand="0" w:evenVBand="0" w:oddHBand="0" w:evenHBand="0" w:firstRowFirstColumn="0" w:firstRowLastColumn="0" w:lastRowFirstColumn="0" w:lastRowLastColumn="0"/>
            <w:tcW w:w="1575" w:type="pct"/>
          </w:tcPr>
          <w:p w14:paraId="3A77ED50" w14:textId="77777777" w:rsidR="001D6947" w:rsidRPr="001D6947" w:rsidRDefault="001D6947" w:rsidP="001D6947">
            <w:pPr>
              <w:pStyle w:val="Tabelid"/>
            </w:pPr>
            <w:r w:rsidRPr="001D6947">
              <w:t>4. Potentsiaalse SKP reaalkasv (%)</w:t>
            </w:r>
          </w:p>
        </w:tc>
        <w:tc>
          <w:tcPr>
            <w:tcW w:w="502" w:type="pct"/>
            <w:vAlign w:val="bottom"/>
          </w:tcPr>
          <w:p w14:paraId="25D7DF92" w14:textId="6339F8A0"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3,5</w:t>
            </w:r>
          </w:p>
        </w:tc>
        <w:tc>
          <w:tcPr>
            <w:tcW w:w="364" w:type="pct"/>
            <w:vAlign w:val="bottom"/>
          </w:tcPr>
          <w:p w14:paraId="427023F6" w14:textId="2FDE6219"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2,8</w:t>
            </w:r>
          </w:p>
        </w:tc>
        <w:tc>
          <w:tcPr>
            <w:tcW w:w="364" w:type="pct"/>
            <w:vAlign w:val="bottom"/>
          </w:tcPr>
          <w:p w14:paraId="65A89EC8" w14:textId="4424AE4D"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2,4</w:t>
            </w:r>
          </w:p>
        </w:tc>
        <w:tc>
          <w:tcPr>
            <w:tcW w:w="364" w:type="pct"/>
            <w:vAlign w:val="bottom"/>
          </w:tcPr>
          <w:p w14:paraId="10E04815" w14:textId="788C82BD"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2,6</w:t>
            </w:r>
          </w:p>
        </w:tc>
        <w:tc>
          <w:tcPr>
            <w:tcW w:w="365" w:type="pct"/>
            <w:vAlign w:val="bottom"/>
          </w:tcPr>
          <w:p w14:paraId="073A16EA" w14:textId="7B7ACE19"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1,6</w:t>
            </w:r>
          </w:p>
        </w:tc>
        <w:tc>
          <w:tcPr>
            <w:tcW w:w="364" w:type="pct"/>
            <w:vAlign w:val="bottom"/>
          </w:tcPr>
          <w:p w14:paraId="5A8DB4D8" w14:textId="3B650AB7"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1,6</w:t>
            </w:r>
          </w:p>
        </w:tc>
        <w:tc>
          <w:tcPr>
            <w:tcW w:w="365" w:type="pct"/>
            <w:vAlign w:val="bottom"/>
          </w:tcPr>
          <w:p w14:paraId="095FB842" w14:textId="20D02640"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1,4</w:t>
            </w:r>
          </w:p>
        </w:tc>
        <w:tc>
          <w:tcPr>
            <w:tcW w:w="364" w:type="pct"/>
            <w:vAlign w:val="bottom"/>
          </w:tcPr>
          <w:p w14:paraId="382C8422" w14:textId="0FCF8EA9"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1,6</w:t>
            </w:r>
          </w:p>
        </w:tc>
        <w:tc>
          <w:tcPr>
            <w:tcW w:w="373" w:type="pct"/>
            <w:vAlign w:val="bottom"/>
          </w:tcPr>
          <w:p w14:paraId="1ED5E31F" w14:textId="3691D2F5"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1,6</w:t>
            </w:r>
          </w:p>
        </w:tc>
      </w:tr>
      <w:tr w:rsidR="001D6947" w:rsidRPr="001D6947" w14:paraId="785E925E" w14:textId="77777777" w:rsidTr="0029595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75" w:type="pct"/>
          </w:tcPr>
          <w:p w14:paraId="010080D5" w14:textId="178F1256" w:rsidR="001D6947" w:rsidRPr="001D6947" w:rsidRDefault="001D6947" w:rsidP="001D6947">
            <w:pPr>
              <w:pStyle w:val="Tabelid"/>
            </w:pPr>
            <w:r w:rsidRPr="001D6947">
              <w:t xml:space="preserve">4.a Tööjõu panus </w:t>
            </w:r>
            <w:proofErr w:type="spellStart"/>
            <w:r w:rsidRPr="001D6947">
              <w:t>pot</w:t>
            </w:r>
            <w:proofErr w:type="spellEnd"/>
            <w:r w:rsidRPr="001D6947">
              <w:t>. kasvu (%)</w:t>
            </w:r>
          </w:p>
        </w:tc>
        <w:tc>
          <w:tcPr>
            <w:tcW w:w="502" w:type="pct"/>
            <w:vAlign w:val="bottom"/>
          </w:tcPr>
          <w:p w14:paraId="0B5B2A3F" w14:textId="05C02606"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0,0</w:t>
            </w:r>
          </w:p>
        </w:tc>
        <w:tc>
          <w:tcPr>
            <w:tcW w:w="364" w:type="pct"/>
            <w:vAlign w:val="bottom"/>
          </w:tcPr>
          <w:p w14:paraId="6D2B24B1" w14:textId="2EEEDBBD"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0,5</w:t>
            </w:r>
          </w:p>
        </w:tc>
        <w:tc>
          <w:tcPr>
            <w:tcW w:w="364" w:type="pct"/>
            <w:vAlign w:val="bottom"/>
          </w:tcPr>
          <w:p w14:paraId="43707593" w14:textId="284F57C8"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1,0</w:t>
            </w:r>
          </w:p>
        </w:tc>
        <w:tc>
          <w:tcPr>
            <w:tcW w:w="364" w:type="pct"/>
            <w:vAlign w:val="bottom"/>
          </w:tcPr>
          <w:p w14:paraId="4C5B60B4" w14:textId="75C2856E"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1,7</w:t>
            </w:r>
          </w:p>
        </w:tc>
        <w:tc>
          <w:tcPr>
            <w:tcW w:w="365" w:type="pct"/>
            <w:vAlign w:val="bottom"/>
          </w:tcPr>
          <w:p w14:paraId="6899C8E2" w14:textId="1EFD79F6"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1,1</w:t>
            </w:r>
          </w:p>
        </w:tc>
        <w:tc>
          <w:tcPr>
            <w:tcW w:w="364" w:type="pct"/>
            <w:vAlign w:val="bottom"/>
          </w:tcPr>
          <w:p w14:paraId="6EBC6ABA" w14:textId="16185EF2"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0,7</w:t>
            </w:r>
          </w:p>
        </w:tc>
        <w:tc>
          <w:tcPr>
            <w:tcW w:w="365" w:type="pct"/>
            <w:vAlign w:val="bottom"/>
          </w:tcPr>
          <w:p w14:paraId="4D575F99" w14:textId="3A08CC23"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0,2</w:t>
            </w:r>
          </w:p>
        </w:tc>
        <w:tc>
          <w:tcPr>
            <w:tcW w:w="364" w:type="pct"/>
            <w:vAlign w:val="bottom"/>
          </w:tcPr>
          <w:p w14:paraId="2BFB5E81" w14:textId="63953F95"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0,1</w:t>
            </w:r>
          </w:p>
        </w:tc>
        <w:tc>
          <w:tcPr>
            <w:tcW w:w="373" w:type="pct"/>
            <w:vAlign w:val="bottom"/>
          </w:tcPr>
          <w:p w14:paraId="6565403F" w14:textId="15A58EBA"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0,0</w:t>
            </w:r>
          </w:p>
        </w:tc>
      </w:tr>
      <w:tr w:rsidR="001D6947" w:rsidRPr="001D6947" w14:paraId="346478A9" w14:textId="77777777" w:rsidTr="00295950">
        <w:trPr>
          <w:trHeight w:val="255"/>
        </w:trPr>
        <w:tc>
          <w:tcPr>
            <w:cnfStyle w:val="001000000000" w:firstRow="0" w:lastRow="0" w:firstColumn="1" w:lastColumn="0" w:oddVBand="0" w:evenVBand="0" w:oddHBand="0" w:evenHBand="0" w:firstRowFirstColumn="0" w:firstRowLastColumn="0" w:lastRowFirstColumn="0" w:lastRowLastColumn="0"/>
            <w:tcW w:w="1575" w:type="pct"/>
          </w:tcPr>
          <w:p w14:paraId="5F22060D" w14:textId="7D82DA30" w:rsidR="001D6947" w:rsidRPr="001D6947" w:rsidRDefault="001D6947" w:rsidP="001D6947">
            <w:pPr>
              <w:pStyle w:val="Tabelid"/>
            </w:pPr>
            <w:r w:rsidRPr="001D6947">
              <w:t xml:space="preserve">4.b Kapitali panus </w:t>
            </w:r>
            <w:proofErr w:type="spellStart"/>
            <w:r w:rsidRPr="001D6947">
              <w:t>pot</w:t>
            </w:r>
            <w:proofErr w:type="spellEnd"/>
            <w:r w:rsidRPr="001D6947">
              <w:t>. kasvu (%)</w:t>
            </w:r>
          </w:p>
        </w:tc>
        <w:tc>
          <w:tcPr>
            <w:tcW w:w="502" w:type="pct"/>
            <w:vAlign w:val="bottom"/>
          </w:tcPr>
          <w:p w14:paraId="374EFBC3" w14:textId="2B19EFE5"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2,0</w:t>
            </w:r>
          </w:p>
        </w:tc>
        <w:tc>
          <w:tcPr>
            <w:tcW w:w="364" w:type="pct"/>
            <w:vAlign w:val="bottom"/>
          </w:tcPr>
          <w:p w14:paraId="41774855" w14:textId="4426C6D8"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1,0</w:t>
            </w:r>
          </w:p>
        </w:tc>
        <w:tc>
          <w:tcPr>
            <w:tcW w:w="364" w:type="pct"/>
            <w:vAlign w:val="bottom"/>
          </w:tcPr>
          <w:p w14:paraId="6C1D35EA" w14:textId="0DBA7345"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1,3</w:t>
            </w:r>
          </w:p>
        </w:tc>
        <w:tc>
          <w:tcPr>
            <w:tcW w:w="364" w:type="pct"/>
            <w:vAlign w:val="bottom"/>
          </w:tcPr>
          <w:p w14:paraId="37AA3630" w14:textId="1BA33803"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1,7</w:t>
            </w:r>
          </w:p>
        </w:tc>
        <w:tc>
          <w:tcPr>
            <w:tcW w:w="365" w:type="pct"/>
            <w:vAlign w:val="bottom"/>
          </w:tcPr>
          <w:p w14:paraId="17EDA3BC" w14:textId="6084B5E5"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1,6</w:t>
            </w:r>
          </w:p>
        </w:tc>
        <w:tc>
          <w:tcPr>
            <w:tcW w:w="364" w:type="pct"/>
            <w:vAlign w:val="bottom"/>
          </w:tcPr>
          <w:p w14:paraId="12AF240A" w14:textId="4A70E90A"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1,5</w:t>
            </w:r>
          </w:p>
        </w:tc>
        <w:tc>
          <w:tcPr>
            <w:tcW w:w="365" w:type="pct"/>
            <w:vAlign w:val="bottom"/>
          </w:tcPr>
          <w:p w14:paraId="640644B5" w14:textId="38BB1CA9"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1,5</w:t>
            </w:r>
          </w:p>
        </w:tc>
        <w:tc>
          <w:tcPr>
            <w:tcW w:w="364" w:type="pct"/>
            <w:vAlign w:val="bottom"/>
          </w:tcPr>
          <w:p w14:paraId="5F86D2FB" w14:textId="34C9E962"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1,6</w:t>
            </w:r>
          </w:p>
        </w:tc>
        <w:tc>
          <w:tcPr>
            <w:tcW w:w="373" w:type="pct"/>
            <w:vAlign w:val="bottom"/>
          </w:tcPr>
          <w:p w14:paraId="5258D15B" w14:textId="6568F211"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1,5</w:t>
            </w:r>
          </w:p>
        </w:tc>
      </w:tr>
      <w:tr w:rsidR="001D6947" w:rsidRPr="001D6947" w14:paraId="1A804A8A" w14:textId="77777777" w:rsidTr="00295950">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75" w:type="pct"/>
          </w:tcPr>
          <w:p w14:paraId="0D75B4C1" w14:textId="77777777" w:rsidR="001D6947" w:rsidRPr="001D6947" w:rsidRDefault="001D6947" w:rsidP="001D6947">
            <w:pPr>
              <w:pStyle w:val="Tabelid"/>
            </w:pPr>
            <w:r w:rsidRPr="001D6947">
              <w:t xml:space="preserve">4.c Tootlikkuse panus </w:t>
            </w:r>
            <w:proofErr w:type="spellStart"/>
            <w:r w:rsidRPr="001D6947">
              <w:t>pot</w:t>
            </w:r>
            <w:proofErr w:type="spellEnd"/>
            <w:r w:rsidRPr="001D6947">
              <w:t>. kasvu (%)</w:t>
            </w:r>
          </w:p>
        </w:tc>
        <w:tc>
          <w:tcPr>
            <w:tcW w:w="502" w:type="pct"/>
            <w:vAlign w:val="bottom"/>
          </w:tcPr>
          <w:p w14:paraId="77A3FCEB" w14:textId="618BB31B"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1,6</w:t>
            </w:r>
          </w:p>
        </w:tc>
        <w:tc>
          <w:tcPr>
            <w:tcW w:w="364" w:type="pct"/>
            <w:vAlign w:val="bottom"/>
          </w:tcPr>
          <w:p w14:paraId="7089F35D" w14:textId="3B005840"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1,3</w:t>
            </w:r>
          </w:p>
        </w:tc>
        <w:tc>
          <w:tcPr>
            <w:tcW w:w="364" w:type="pct"/>
            <w:vAlign w:val="bottom"/>
          </w:tcPr>
          <w:p w14:paraId="692AB509" w14:textId="02E42CE9"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0,1</w:t>
            </w:r>
          </w:p>
        </w:tc>
        <w:tc>
          <w:tcPr>
            <w:tcW w:w="364" w:type="pct"/>
            <w:vAlign w:val="bottom"/>
          </w:tcPr>
          <w:p w14:paraId="2670093D" w14:textId="1BAADAF9"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-0,8</w:t>
            </w:r>
          </w:p>
        </w:tc>
        <w:tc>
          <w:tcPr>
            <w:tcW w:w="365" w:type="pct"/>
            <w:vAlign w:val="bottom"/>
          </w:tcPr>
          <w:p w14:paraId="331F4360" w14:textId="6AD0686D"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-1,0</w:t>
            </w:r>
          </w:p>
        </w:tc>
        <w:tc>
          <w:tcPr>
            <w:tcW w:w="364" w:type="pct"/>
            <w:vAlign w:val="bottom"/>
          </w:tcPr>
          <w:p w14:paraId="51688806" w14:textId="1DB2132D"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-0,6</w:t>
            </w:r>
          </w:p>
        </w:tc>
        <w:tc>
          <w:tcPr>
            <w:tcW w:w="365" w:type="pct"/>
            <w:vAlign w:val="bottom"/>
          </w:tcPr>
          <w:p w14:paraId="32373954" w14:textId="4A338451"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-0,3</w:t>
            </w:r>
          </w:p>
        </w:tc>
        <w:tc>
          <w:tcPr>
            <w:tcW w:w="364" w:type="pct"/>
            <w:vAlign w:val="bottom"/>
          </w:tcPr>
          <w:p w14:paraId="0B9F1B9E" w14:textId="6DA88601"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-0,1</w:t>
            </w:r>
          </w:p>
        </w:tc>
        <w:tc>
          <w:tcPr>
            <w:tcW w:w="373" w:type="pct"/>
            <w:vAlign w:val="bottom"/>
          </w:tcPr>
          <w:p w14:paraId="71F3368A" w14:textId="5F933E98" w:rsidR="001D6947" w:rsidRPr="001D6947" w:rsidRDefault="001D6947" w:rsidP="001D6947">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0,1</w:t>
            </w:r>
          </w:p>
        </w:tc>
      </w:tr>
      <w:tr w:rsidR="001D6947" w:rsidRPr="001D6947" w14:paraId="361A25CB" w14:textId="77777777" w:rsidTr="008C4D71">
        <w:trPr>
          <w:trHeight w:val="255"/>
        </w:trPr>
        <w:tc>
          <w:tcPr>
            <w:cnfStyle w:val="001000000000" w:firstRow="0" w:lastRow="0" w:firstColumn="1" w:lastColumn="0" w:oddVBand="0" w:evenVBand="0" w:oddHBand="0" w:evenHBand="0" w:firstRowFirstColumn="0" w:firstRowLastColumn="0" w:lastRowFirstColumn="0" w:lastRowLastColumn="0"/>
            <w:tcW w:w="1575" w:type="pct"/>
          </w:tcPr>
          <w:p w14:paraId="46B85418" w14:textId="77777777" w:rsidR="001D6947" w:rsidRPr="001D6947" w:rsidRDefault="001D6947" w:rsidP="001D6947">
            <w:pPr>
              <w:pStyle w:val="Tabelid"/>
            </w:pPr>
            <w:r w:rsidRPr="001D6947">
              <w:t>5. SKP lõhe (</w:t>
            </w:r>
            <w:proofErr w:type="spellStart"/>
            <w:r w:rsidRPr="001D6947">
              <w:rPr>
                <w:i/>
                <w:iCs/>
              </w:rPr>
              <w:t>output</w:t>
            </w:r>
            <w:proofErr w:type="spellEnd"/>
            <w:r w:rsidRPr="001D6947">
              <w:rPr>
                <w:i/>
                <w:iCs/>
              </w:rPr>
              <w:t xml:space="preserve"> </w:t>
            </w:r>
            <w:proofErr w:type="spellStart"/>
            <w:r w:rsidRPr="001D6947">
              <w:rPr>
                <w:i/>
                <w:iCs/>
              </w:rPr>
              <w:t>gap</w:t>
            </w:r>
            <w:proofErr w:type="spellEnd"/>
            <w:r w:rsidRPr="001D6947">
              <w:t>)</w:t>
            </w:r>
          </w:p>
        </w:tc>
        <w:tc>
          <w:tcPr>
            <w:tcW w:w="502" w:type="pct"/>
            <w:vAlign w:val="bottom"/>
          </w:tcPr>
          <w:p w14:paraId="287EECE5" w14:textId="472464A3"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0,7</w:t>
            </w:r>
          </w:p>
        </w:tc>
        <w:tc>
          <w:tcPr>
            <w:tcW w:w="364" w:type="pct"/>
            <w:vAlign w:val="bottom"/>
          </w:tcPr>
          <w:p w14:paraId="73CAC97C" w14:textId="5467E6D2"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-2,4</w:t>
            </w:r>
          </w:p>
        </w:tc>
        <w:tc>
          <w:tcPr>
            <w:tcW w:w="364" w:type="pct"/>
            <w:vAlign w:val="bottom"/>
          </w:tcPr>
          <w:p w14:paraId="2852CE4E" w14:textId="21CA8E65"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2,2</w:t>
            </w:r>
          </w:p>
        </w:tc>
        <w:tc>
          <w:tcPr>
            <w:tcW w:w="364" w:type="pct"/>
            <w:vAlign w:val="bottom"/>
          </w:tcPr>
          <w:p w14:paraId="0BC15A42" w14:textId="2006636B"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-0,8</w:t>
            </w:r>
          </w:p>
        </w:tc>
        <w:tc>
          <w:tcPr>
            <w:tcW w:w="365" w:type="pct"/>
            <w:vAlign w:val="bottom"/>
          </w:tcPr>
          <w:p w14:paraId="13B05A3D" w14:textId="7302DE30"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-4,4</w:t>
            </w:r>
          </w:p>
        </w:tc>
        <w:tc>
          <w:tcPr>
            <w:tcW w:w="364" w:type="pct"/>
            <w:vAlign w:val="bottom"/>
          </w:tcPr>
          <w:p w14:paraId="6F829BD7" w14:textId="7E09FEC5"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-3,3</w:t>
            </w:r>
          </w:p>
        </w:tc>
        <w:tc>
          <w:tcPr>
            <w:tcW w:w="365" w:type="pct"/>
            <w:vAlign w:val="bottom"/>
          </w:tcPr>
          <w:p w14:paraId="00A18477" w14:textId="2109BE47"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-1,8</w:t>
            </w:r>
          </w:p>
        </w:tc>
        <w:tc>
          <w:tcPr>
            <w:tcW w:w="364" w:type="pct"/>
            <w:vAlign w:val="bottom"/>
          </w:tcPr>
          <w:p w14:paraId="4F63785C" w14:textId="529AD5DC"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-0,9</w:t>
            </w:r>
          </w:p>
        </w:tc>
        <w:tc>
          <w:tcPr>
            <w:tcW w:w="373" w:type="pct"/>
            <w:vAlign w:val="bottom"/>
          </w:tcPr>
          <w:p w14:paraId="360D44EE" w14:textId="5F1A03D4" w:rsidR="001D6947" w:rsidRPr="001D6947" w:rsidRDefault="001D6947" w:rsidP="001D6947">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-0,3</w:t>
            </w:r>
          </w:p>
        </w:tc>
      </w:tr>
      <w:tr w:rsidR="00096183" w:rsidRPr="001D6947" w14:paraId="170298FB" w14:textId="77777777" w:rsidTr="00B7634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1575" w:type="pct"/>
            <w:noWrap/>
          </w:tcPr>
          <w:p w14:paraId="2428B397" w14:textId="77777777" w:rsidR="00096183" w:rsidRPr="001D6947" w:rsidRDefault="00096183" w:rsidP="00096183">
            <w:pPr>
              <w:pStyle w:val="Tabelid"/>
            </w:pPr>
            <w:r w:rsidRPr="001D6947">
              <w:t>6. Tsükliline eelarve komponent</w:t>
            </w:r>
          </w:p>
        </w:tc>
        <w:tc>
          <w:tcPr>
            <w:tcW w:w="502" w:type="pct"/>
            <w:vAlign w:val="center"/>
          </w:tcPr>
          <w:p w14:paraId="487E6F56" w14:textId="10F97010"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t>-</w:t>
            </w:r>
          </w:p>
        </w:tc>
        <w:tc>
          <w:tcPr>
            <w:tcW w:w="364" w:type="pct"/>
            <w:vAlign w:val="bottom"/>
          </w:tcPr>
          <w:p w14:paraId="3E754D8C" w14:textId="37ADBABF"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-1,2</w:t>
            </w:r>
          </w:p>
        </w:tc>
        <w:tc>
          <w:tcPr>
            <w:tcW w:w="364" w:type="pct"/>
            <w:vAlign w:val="bottom"/>
          </w:tcPr>
          <w:p w14:paraId="35821B06" w14:textId="6085055D"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1,1</w:t>
            </w:r>
          </w:p>
        </w:tc>
        <w:tc>
          <w:tcPr>
            <w:tcW w:w="364" w:type="pct"/>
            <w:vAlign w:val="bottom"/>
          </w:tcPr>
          <w:p w14:paraId="5B53746B" w14:textId="25D1FE0F"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-0,4</w:t>
            </w:r>
          </w:p>
        </w:tc>
        <w:tc>
          <w:tcPr>
            <w:tcW w:w="365" w:type="pct"/>
            <w:vAlign w:val="bottom"/>
          </w:tcPr>
          <w:p w14:paraId="2BA61267" w14:textId="651BA051"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-2,1</w:t>
            </w:r>
          </w:p>
        </w:tc>
        <w:tc>
          <w:tcPr>
            <w:tcW w:w="364" w:type="pct"/>
            <w:vAlign w:val="bottom"/>
          </w:tcPr>
          <w:p w14:paraId="1D1CB19E" w14:textId="553B1551"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-1,6</w:t>
            </w:r>
          </w:p>
        </w:tc>
        <w:tc>
          <w:tcPr>
            <w:tcW w:w="365" w:type="pct"/>
            <w:vAlign w:val="bottom"/>
          </w:tcPr>
          <w:p w14:paraId="70D6B6B7" w14:textId="5E1BE2AF"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-0,9</w:t>
            </w:r>
          </w:p>
        </w:tc>
        <w:tc>
          <w:tcPr>
            <w:tcW w:w="364" w:type="pct"/>
            <w:vAlign w:val="bottom"/>
          </w:tcPr>
          <w:p w14:paraId="782C6CC9" w14:textId="5E603BD9"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-0,5</w:t>
            </w:r>
          </w:p>
        </w:tc>
        <w:tc>
          <w:tcPr>
            <w:tcW w:w="373" w:type="pct"/>
            <w:vAlign w:val="bottom"/>
          </w:tcPr>
          <w:p w14:paraId="5B5640D9" w14:textId="641CE9D7"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-0,2</w:t>
            </w:r>
          </w:p>
        </w:tc>
      </w:tr>
      <w:tr w:rsidR="00096183" w:rsidRPr="001D6947" w14:paraId="43BFB061" w14:textId="77777777" w:rsidTr="00D73D0B">
        <w:trPr>
          <w:trHeight w:val="255"/>
        </w:trPr>
        <w:tc>
          <w:tcPr>
            <w:cnfStyle w:val="001000000000" w:firstRow="0" w:lastRow="0" w:firstColumn="1" w:lastColumn="0" w:oddVBand="0" w:evenVBand="0" w:oddHBand="0" w:evenHBand="0" w:firstRowFirstColumn="0" w:firstRowLastColumn="0" w:lastRowFirstColumn="0" w:lastRowLastColumn="0"/>
            <w:tcW w:w="1575" w:type="pct"/>
          </w:tcPr>
          <w:p w14:paraId="59B387FC" w14:textId="77777777" w:rsidR="00096183" w:rsidRPr="001D6947" w:rsidRDefault="00096183" w:rsidP="00096183">
            <w:pPr>
              <w:pStyle w:val="Tabelid"/>
            </w:pPr>
            <w:r w:rsidRPr="001D6947">
              <w:t>7. Tsükliliselt tasandatud eelarve</w:t>
            </w:r>
            <w:r w:rsidRPr="001D6947">
              <w:softHyphen/>
              <w:t xml:space="preserve">positsioon </w:t>
            </w:r>
          </w:p>
          <w:p w14:paraId="5774AE3B" w14:textId="77777777" w:rsidR="00096183" w:rsidRPr="001D6947" w:rsidRDefault="00096183" w:rsidP="00096183">
            <w:pPr>
              <w:pStyle w:val="Tabelid"/>
            </w:pPr>
            <w:r w:rsidRPr="001D6947">
              <w:t>(7)=(2)-(6)</w:t>
            </w:r>
          </w:p>
        </w:tc>
        <w:tc>
          <w:tcPr>
            <w:tcW w:w="502" w:type="pct"/>
            <w:vAlign w:val="center"/>
          </w:tcPr>
          <w:p w14:paraId="324CE58D" w14:textId="76B6DD99"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t>-</w:t>
            </w:r>
          </w:p>
        </w:tc>
        <w:tc>
          <w:tcPr>
            <w:tcW w:w="364" w:type="pct"/>
            <w:vAlign w:val="center"/>
          </w:tcPr>
          <w:p w14:paraId="12D93DD5" w14:textId="649020DF"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-4,3</w:t>
            </w:r>
          </w:p>
        </w:tc>
        <w:tc>
          <w:tcPr>
            <w:tcW w:w="364" w:type="pct"/>
            <w:vAlign w:val="center"/>
          </w:tcPr>
          <w:p w14:paraId="4B0F1D13" w14:textId="1710E308"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-3,5</w:t>
            </w:r>
          </w:p>
        </w:tc>
        <w:tc>
          <w:tcPr>
            <w:tcW w:w="364" w:type="pct"/>
            <w:vAlign w:val="center"/>
          </w:tcPr>
          <w:p w14:paraId="1DDB4D5A" w14:textId="72FC898D"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-0,5</w:t>
            </w:r>
          </w:p>
        </w:tc>
        <w:tc>
          <w:tcPr>
            <w:tcW w:w="365" w:type="pct"/>
            <w:vAlign w:val="center"/>
          </w:tcPr>
          <w:p w14:paraId="01333B4F" w14:textId="19B08FF0"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w:t>
            </w:r>
            <w:r w:rsidR="006A3CD5" w:rsidRPr="001D6947">
              <w:rPr>
                <w:rFonts w:cs="Calibri"/>
                <w:color w:val="000000"/>
                <w:szCs w:val="20"/>
              </w:rPr>
              <w:t>2</w:t>
            </w:r>
          </w:p>
        </w:tc>
        <w:tc>
          <w:tcPr>
            <w:tcW w:w="364" w:type="pct"/>
            <w:vAlign w:val="center"/>
          </w:tcPr>
          <w:p w14:paraId="2576EF5C" w14:textId="7DBF3A4D"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-1,3</w:t>
            </w:r>
          </w:p>
        </w:tc>
        <w:tc>
          <w:tcPr>
            <w:tcW w:w="365" w:type="pct"/>
            <w:vAlign w:val="center"/>
          </w:tcPr>
          <w:p w14:paraId="5EC975F6" w14:textId="6D1ABF38"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-3,</w:t>
            </w:r>
            <w:r w:rsidR="006A3CD5" w:rsidRPr="001D6947">
              <w:rPr>
                <w:rFonts w:cs="Calibri"/>
                <w:color w:val="000000"/>
                <w:szCs w:val="20"/>
              </w:rPr>
              <w:t>2</w:t>
            </w:r>
          </w:p>
        </w:tc>
        <w:tc>
          <w:tcPr>
            <w:tcW w:w="364" w:type="pct"/>
            <w:vAlign w:val="center"/>
          </w:tcPr>
          <w:p w14:paraId="71BF4607" w14:textId="5C24B3F2"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-3,7</w:t>
            </w:r>
          </w:p>
        </w:tc>
        <w:tc>
          <w:tcPr>
            <w:tcW w:w="373" w:type="pct"/>
            <w:vAlign w:val="center"/>
          </w:tcPr>
          <w:p w14:paraId="51EE7307" w14:textId="454C6604"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-4,3</w:t>
            </w:r>
          </w:p>
        </w:tc>
      </w:tr>
      <w:tr w:rsidR="00096183" w:rsidRPr="001D6947" w14:paraId="245ACD91" w14:textId="77777777" w:rsidTr="00D73D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75" w:type="pct"/>
          </w:tcPr>
          <w:p w14:paraId="2BDE551A" w14:textId="77777777" w:rsidR="00096183" w:rsidRPr="001D6947" w:rsidRDefault="00096183" w:rsidP="00096183">
            <w:pPr>
              <w:pStyle w:val="Tabelid"/>
            </w:pPr>
            <w:r w:rsidRPr="001D6947">
              <w:t xml:space="preserve">8. Tsükliliselt tasandatud primaarne positsioon </w:t>
            </w:r>
          </w:p>
          <w:p w14:paraId="0B739473" w14:textId="77777777" w:rsidR="00096183" w:rsidRPr="001D6947" w:rsidRDefault="00096183" w:rsidP="00096183">
            <w:pPr>
              <w:pStyle w:val="Tabelid"/>
            </w:pPr>
            <w:r w:rsidRPr="001D6947">
              <w:t>(8)=(7)+(3)</w:t>
            </w:r>
          </w:p>
        </w:tc>
        <w:tc>
          <w:tcPr>
            <w:tcW w:w="502" w:type="pct"/>
            <w:vAlign w:val="center"/>
          </w:tcPr>
          <w:p w14:paraId="6C12B69F" w14:textId="59903DD2"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t>-</w:t>
            </w:r>
          </w:p>
        </w:tc>
        <w:tc>
          <w:tcPr>
            <w:tcW w:w="364" w:type="pct"/>
            <w:vAlign w:val="center"/>
          </w:tcPr>
          <w:p w14:paraId="4BFDC7E5" w14:textId="623B802A"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-4,3</w:t>
            </w:r>
          </w:p>
        </w:tc>
        <w:tc>
          <w:tcPr>
            <w:tcW w:w="364" w:type="pct"/>
            <w:vAlign w:val="center"/>
          </w:tcPr>
          <w:p w14:paraId="24F4F078" w14:textId="5A55383D"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-3,5</w:t>
            </w:r>
          </w:p>
        </w:tc>
        <w:tc>
          <w:tcPr>
            <w:tcW w:w="364" w:type="pct"/>
            <w:vAlign w:val="center"/>
          </w:tcPr>
          <w:p w14:paraId="63B9E510" w14:textId="57E78E2D"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-0,4</w:t>
            </w:r>
          </w:p>
        </w:tc>
        <w:tc>
          <w:tcPr>
            <w:tcW w:w="365" w:type="pct"/>
            <w:vAlign w:val="center"/>
          </w:tcPr>
          <w:p w14:paraId="6D957CDD" w14:textId="05248141"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w:t>
            </w:r>
            <w:r w:rsidR="006A3CD5" w:rsidRPr="001D6947">
              <w:rPr>
                <w:rFonts w:cs="Calibri"/>
                <w:color w:val="000000"/>
                <w:szCs w:val="20"/>
              </w:rPr>
              <w:t>6</w:t>
            </w:r>
          </w:p>
        </w:tc>
        <w:tc>
          <w:tcPr>
            <w:tcW w:w="364" w:type="pct"/>
            <w:vAlign w:val="center"/>
          </w:tcPr>
          <w:p w14:paraId="1AE41343" w14:textId="228843C6"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-0,7</w:t>
            </w:r>
          </w:p>
        </w:tc>
        <w:tc>
          <w:tcPr>
            <w:tcW w:w="365" w:type="pct"/>
            <w:vAlign w:val="center"/>
          </w:tcPr>
          <w:p w14:paraId="3AC3B740" w14:textId="018209F0"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-2,</w:t>
            </w:r>
            <w:r w:rsidR="006A3CD5" w:rsidRPr="001D6947">
              <w:rPr>
                <w:rFonts w:cs="Calibri"/>
                <w:color w:val="000000"/>
                <w:szCs w:val="20"/>
              </w:rPr>
              <w:t>5</w:t>
            </w:r>
          </w:p>
        </w:tc>
        <w:tc>
          <w:tcPr>
            <w:tcW w:w="364" w:type="pct"/>
            <w:vAlign w:val="center"/>
          </w:tcPr>
          <w:p w14:paraId="0159D7CA" w14:textId="592731F5"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-2,9</w:t>
            </w:r>
          </w:p>
        </w:tc>
        <w:tc>
          <w:tcPr>
            <w:tcW w:w="373" w:type="pct"/>
            <w:vAlign w:val="center"/>
          </w:tcPr>
          <w:p w14:paraId="6EB80312" w14:textId="463C4D24"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rPr>
                <w:rFonts w:cs="Calibri"/>
                <w:color w:val="000000"/>
                <w:szCs w:val="20"/>
              </w:rPr>
            </w:pPr>
            <w:r w:rsidRPr="001D6947">
              <w:rPr>
                <w:rFonts w:cs="Calibri"/>
                <w:color w:val="000000"/>
                <w:szCs w:val="20"/>
              </w:rPr>
              <w:t>-3,</w:t>
            </w:r>
            <w:r w:rsidR="005B4D5F">
              <w:rPr>
                <w:rFonts w:cs="Calibri"/>
                <w:color w:val="000000"/>
                <w:szCs w:val="20"/>
              </w:rPr>
              <w:t>3</w:t>
            </w:r>
          </w:p>
        </w:tc>
      </w:tr>
      <w:tr w:rsidR="00096183" w:rsidRPr="001D6947" w14:paraId="763BC0B2" w14:textId="77777777" w:rsidTr="00D73D0B">
        <w:trPr>
          <w:trHeight w:val="240"/>
        </w:trPr>
        <w:tc>
          <w:tcPr>
            <w:cnfStyle w:val="001000000000" w:firstRow="0" w:lastRow="0" w:firstColumn="1" w:lastColumn="0" w:oddVBand="0" w:evenVBand="0" w:oddHBand="0" w:evenHBand="0" w:firstRowFirstColumn="0" w:firstRowLastColumn="0" w:lastRowFirstColumn="0" w:lastRowLastColumn="0"/>
            <w:tcW w:w="1575" w:type="pct"/>
          </w:tcPr>
          <w:p w14:paraId="4A8CF4A3" w14:textId="77777777" w:rsidR="00096183" w:rsidRPr="001D6947" w:rsidRDefault="00096183" w:rsidP="00096183">
            <w:pPr>
              <w:pStyle w:val="Tabelid"/>
            </w:pPr>
            <w:r w:rsidRPr="001D6947">
              <w:t>9. Välisvahendite muutus, % SKPst</w:t>
            </w:r>
          </w:p>
        </w:tc>
        <w:tc>
          <w:tcPr>
            <w:tcW w:w="502" w:type="pct"/>
            <w:vAlign w:val="center"/>
          </w:tcPr>
          <w:p w14:paraId="1C91FD90" w14:textId="295CFEFF"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pPr>
            <w:r w:rsidRPr="001D6947">
              <w:t>-</w:t>
            </w:r>
          </w:p>
        </w:tc>
        <w:tc>
          <w:tcPr>
            <w:tcW w:w="364" w:type="pct"/>
            <w:vAlign w:val="center"/>
          </w:tcPr>
          <w:p w14:paraId="792994CF" w14:textId="317BFBB0"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0,0</w:t>
            </w:r>
          </w:p>
        </w:tc>
        <w:tc>
          <w:tcPr>
            <w:tcW w:w="364" w:type="pct"/>
            <w:vAlign w:val="center"/>
          </w:tcPr>
          <w:p w14:paraId="27B949D1" w14:textId="707683C2"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0,4</w:t>
            </w:r>
          </w:p>
        </w:tc>
        <w:tc>
          <w:tcPr>
            <w:tcW w:w="364" w:type="pct"/>
            <w:vAlign w:val="center"/>
          </w:tcPr>
          <w:p w14:paraId="0A519BDD" w14:textId="3F7AD9FF"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0,3</w:t>
            </w:r>
          </w:p>
        </w:tc>
        <w:tc>
          <w:tcPr>
            <w:tcW w:w="365" w:type="pct"/>
            <w:vAlign w:val="center"/>
          </w:tcPr>
          <w:p w14:paraId="77D524F4" w14:textId="7EC70CBE"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0,9</w:t>
            </w:r>
          </w:p>
        </w:tc>
        <w:tc>
          <w:tcPr>
            <w:tcW w:w="364" w:type="pct"/>
            <w:vAlign w:val="center"/>
          </w:tcPr>
          <w:p w14:paraId="46F7A345" w14:textId="13664210"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0,4</w:t>
            </w:r>
          </w:p>
        </w:tc>
        <w:tc>
          <w:tcPr>
            <w:tcW w:w="365" w:type="pct"/>
            <w:vAlign w:val="center"/>
          </w:tcPr>
          <w:p w14:paraId="253F6702" w14:textId="28B4C85F"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0,2</w:t>
            </w:r>
          </w:p>
        </w:tc>
        <w:tc>
          <w:tcPr>
            <w:tcW w:w="364" w:type="pct"/>
            <w:vAlign w:val="center"/>
          </w:tcPr>
          <w:p w14:paraId="0C5F8282" w14:textId="1B95597C"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-0,3</w:t>
            </w:r>
          </w:p>
        </w:tc>
        <w:tc>
          <w:tcPr>
            <w:tcW w:w="373" w:type="pct"/>
            <w:vAlign w:val="center"/>
          </w:tcPr>
          <w:p w14:paraId="471E7358" w14:textId="70DA5929" w:rsidR="00096183" w:rsidRPr="001D6947" w:rsidRDefault="00096183" w:rsidP="00096183">
            <w:pPr>
              <w:pStyle w:val="Tabelid"/>
              <w:jc w:val="right"/>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1D6947">
              <w:rPr>
                <w:rFonts w:cs="Calibri"/>
                <w:color w:val="000000"/>
                <w:szCs w:val="20"/>
              </w:rPr>
              <w:t>-1,2</w:t>
            </w:r>
          </w:p>
        </w:tc>
      </w:tr>
      <w:tr w:rsidR="00096183" w:rsidRPr="001D6947" w14:paraId="14361683" w14:textId="77777777" w:rsidTr="00D73D0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575" w:type="pct"/>
          </w:tcPr>
          <w:p w14:paraId="6D5C62AC" w14:textId="03A54ACD" w:rsidR="00096183" w:rsidRPr="001D6947" w:rsidRDefault="00096183" w:rsidP="00096183">
            <w:pPr>
              <w:pStyle w:val="Tabelid"/>
            </w:pPr>
            <w:r w:rsidRPr="001D6947">
              <w:t>10. Eelarvepoliitika impulss</w:t>
            </w:r>
          </w:p>
        </w:tc>
        <w:tc>
          <w:tcPr>
            <w:tcW w:w="502" w:type="pct"/>
            <w:vAlign w:val="center"/>
          </w:tcPr>
          <w:p w14:paraId="0C4263FD" w14:textId="7E88442C"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t>-</w:t>
            </w:r>
          </w:p>
        </w:tc>
        <w:tc>
          <w:tcPr>
            <w:tcW w:w="364" w:type="pct"/>
            <w:vAlign w:val="center"/>
          </w:tcPr>
          <w:p w14:paraId="43879D2B" w14:textId="09EDB403"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Vastu- </w:t>
            </w:r>
            <w:proofErr w:type="spellStart"/>
            <w:r w:rsidRPr="001D6947">
              <w:rPr>
                <w:sz w:val="16"/>
                <w:szCs w:val="16"/>
              </w:rPr>
              <w:t>tsükl</w:t>
            </w:r>
            <w:proofErr w:type="spellEnd"/>
            <w:r w:rsidRPr="001D6947">
              <w:rPr>
                <w:sz w:val="16"/>
                <w:szCs w:val="16"/>
              </w:rPr>
              <w:t>.</w:t>
            </w:r>
          </w:p>
        </w:tc>
        <w:tc>
          <w:tcPr>
            <w:tcW w:w="364" w:type="pct"/>
            <w:vAlign w:val="center"/>
          </w:tcPr>
          <w:p w14:paraId="6A028BFE" w14:textId="781C4DF5"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Vastu- </w:t>
            </w:r>
            <w:proofErr w:type="spellStart"/>
            <w:r w:rsidRPr="001D6947">
              <w:rPr>
                <w:sz w:val="16"/>
                <w:szCs w:val="16"/>
              </w:rPr>
              <w:t>tsükl</w:t>
            </w:r>
            <w:proofErr w:type="spellEnd"/>
            <w:r w:rsidRPr="001D6947">
              <w:rPr>
                <w:sz w:val="16"/>
                <w:szCs w:val="16"/>
              </w:rPr>
              <w:t>.</w:t>
            </w:r>
          </w:p>
        </w:tc>
        <w:tc>
          <w:tcPr>
            <w:tcW w:w="364" w:type="pct"/>
            <w:vAlign w:val="center"/>
          </w:tcPr>
          <w:p w14:paraId="7EC17A1E" w14:textId="017708FD"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Pro- </w:t>
            </w:r>
            <w:proofErr w:type="spellStart"/>
            <w:r w:rsidRPr="001D6947">
              <w:rPr>
                <w:sz w:val="16"/>
                <w:szCs w:val="16"/>
              </w:rPr>
              <w:t>tsükl</w:t>
            </w:r>
            <w:proofErr w:type="spellEnd"/>
            <w:r w:rsidRPr="001D6947">
              <w:rPr>
                <w:sz w:val="16"/>
                <w:szCs w:val="16"/>
              </w:rPr>
              <w:t>.</w:t>
            </w:r>
          </w:p>
        </w:tc>
        <w:tc>
          <w:tcPr>
            <w:tcW w:w="365" w:type="pct"/>
            <w:vAlign w:val="center"/>
          </w:tcPr>
          <w:p w14:paraId="5F76D1D9" w14:textId="01A81BEE"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Vastu- </w:t>
            </w:r>
            <w:proofErr w:type="spellStart"/>
            <w:r w:rsidRPr="001D6947">
              <w:rPr>
                <w:sz w:val="16"/>
                <w:szCs w:val="16"/>
              </w:rPr>
              <w:t>tsükl</w:t>
            </w:r>
            <w:proofErr w:type="spellEnd"/>
            <w:r w:rsidRPr="001D6947">
              <w:rPr>
                <w:sz w:val="16"/>
                <w:szCs w:val="16"/>
              </w:rPr>
              <w:t>.</w:t>
            </w:r>
          </w:p>
        </w:tc>
        <w:tc>
          <w:tcPr>
            <w:tcW w:w="364" w:type="pct"/>
            <w:vAlign w:val="center"/>
          </w:tcPr>
          <w:p w14:paraId="6C5D62E5" w14:textId="3A0387C3"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Pro- </w:t>
            </w:r>
            <w:proofErr w:type="spellStart"/>
            <w:r w:rsidRPr="001D6947">
              <w:rPr>
                <w:sz w:val="16"/>
                <w:szCs w:val="16"/>
              </w:rPr>
              <w:t>tsükl</w:t>
            </w:r>
            <w:proofErr w:type="spellEnd"/>
            <w:r w:rsidRPr="001D6947">
              <w:rPr>
                <w:sz w:val="16"/>
                <w:szCs w:val="16"/>
              </w:rPr>
              <w:t>.</w:t>
            </w:r>
          </w:p>
        </w:tc>
        <w:tc>
          <w:tcPr>
            <w:tcW w:w="365" w:type="pct"/>
            <w:vAlign w:val="center"/>
          </w:tcPr>
          <w:p w14:paraId="55A7EF10" w14:textId="19395606"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Pro- </w:t>
            </w:r>
            <w:proofErr w:type="spellStart"/>
            <w:r w:rsidRPr="001D6947">
              <w:rPr>
                <w:sz w:val="16"/>
                <w:szCs w:val="16"/>
              </w:rPr>
              <w:t>tsükl</w:t>
            </w:r>
            <w:proofErr w:type="spellEnd"/>
            <w:r w:rsidRPr="001D6947">
              <w:rPr>
                <w:sz w:val="16"/>
                <w:szCs w:val="16"/>
              </w:rPr>
              <w:t>.</w:t>
            </w:r>
          </w:p>
        </w:tc>
        <w:tc>
          <w:tcPr>
            <w:tcW w:w="364" w:type="pct"/>
            <w:vAlign w:val="center"/>
          </w:tcPr>
          <w:p w14:paraId="268B2D07" w14:textId="7351228B" w:rsidR="00096183" w:rsidRPr="001D6947" w:rsidRDefault="006A3CD5"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Pro- </w:t>
            </w:r>
            <w:proofErr w:type="spellStart"/>
            <w:r w:rsidRPr="001D6947">
              <w:rPr>
                <w:sz w:val="16"/>
                <w:szCs w:val="16"/>
              </w:rPr>
              <w:t>tsükl</w:t>
            </w:r>
            <w:proofErr w:type="spellEnd"/>
            <w:r w:rsidRPr="001D6947">
              <w:rPr>
                <w:sz w:val="16"/>
                <w:szCs w:val="16"/>
              </w:rPr>
              <w:t>.</w:t>
            </w:r>
          </w:p>
        </w:tc>
        <w:tc>
          <w:tcPr>
            <w:tcW w:w="373" w:type="pct"/>
            <w:vAlign w:val="center"/>
          </w:tcPr>
          <w:p w14:paraId="444B34D1" w14:textId="0D2D9B40" w:rsidR="00096183" w:rsidRPr="001D6947" w:rsidRDefault="00096183" w:rsidP="00096183">
            <w:pPr>
              <w:pStyle w:val="Tabelid"/>
              <w:jc w:val="right"/>
              <w:cnfStyle w:val="000000100000" w:firstRow="0" w:lastRow="0" w:firstColumn="0" w:lastColumn="0" w:oddVBand="0" w:evenVBand="0" w:oddHBand="1" w:evenHBand="0" w:firstRowFirstColumn="0" w:firstRowLastColumn="0" w:lastRowFirstColumn="0" w:lastRowLastColumn="0"/>
            </w:pPr>
            <w:r w:rsidRPr="001D6947">
              <w:rPr>
                <w:sz w:val="16"/>
                <w:szCs w:val="16"/>
              </w:rPr>
              <w:t xml:space="preserve">Vastu- </w:t>
            </w:r>
            <w:proofErr w:type="spellStart"/>
            <w:r w:rsidRPr="001D6947">
              <w:rPr>
                <w:sz w:val="16"/>
                <w:szCs w:val="16"/>
              </w:rPr>
              <w:t>tsükl</w:t>
            </w:r>
            <w:proofErr w:type="spellEnd"/>
            <w:r w:rsidRPr="001D6947">
              <w:rPr>
                <w:sz w:val="16"/>
                <w:szCs w:val="16"/>
              </w:rPr>
              <w:t>.</w:t>
            </w:r>
          </w:p>
        </w:tc>
      </w:tr>
    </w:tbl>
    <w:p w14:paraId="7A0A583B" w14:textId="77777777" w:rsidR="00831AD9" w:rsidRPr="001D6947" w:rsidRDefault="00831AD9" w:rsidP="00831AD9">
      <w:pPr>
        <w:pStyle w:val="Mrkus"/>
      </w:pPr>
      <w:r w:rsidRPr="001D6947">
        <w:t>Allikad: Eesti Statistikaamet, Rahandusministeerium.</w:t>
      </w:r>
    </w:p>
    <w:p w14:paraId="79E7DBEC" w14:textId="77777777" w:rsidR="00831AD9" w:rsidRPr="00414819" w:rsidRDefault="00831AD9" w:rsidP="00831AD9">
      <w:pPr>
        <w:keepNext/>
        <w:rPr>
          <w:highlight w:val="yellow"/>
        </w:rPr>
      </w:pPr>
    </w:p>
    <w:p w14:paraId="4EECDCC0" w14:textId="77777777" w:rsidR="00831AD9" w:rsidRPr="00414819" w:rsidRDefault="00831AD9" w:rsidP="00831AD9">
      <w:pPr>
        <w:pStyle w:val="Caption"/>
        <w:rPr>
          <w:highlight w:val="yellow"/>
        </w:rPr>
      </w:pPr>
      <w:bookmarkStart w:id="265" w:name="_Ref511290418"/>
      <w:bookmarkStart w:id="266" w:name="_Ref511290413"/>
      <w:r w:rsidRPr="00414819">
        <w:rPr>
          <w:highlight w:val="yellow"/>
        </w:rPr>
        <w:br w:type="page"/>
      </w:r>
    </w:p>
    <w:p w14:paraId="6FDDA0DE" w14:textId="39992E73" w:rsidR="00831AD9" w:rsidRPr="001D6947" w:rsidRDefault="00831AD9" w:rsidP="00E54FF2">
      <w:pPr>
        <w:pStyle w:val="Caption"/>
      </w:pPr>
      <w:bookmarkStart w:id="267" w:name="_Ref511649101"/>
      <w:bookmarkStart w:id="268" w:name="_Toc4502676"/>
      <w:bookmarkStart w:id="269" w:name="_Toc143775557"/>
      <w:r w:rsidRPr="001D6947">
        <w:lastRenderedPageBreak/>
        <w:t xml:space="preserve">Tabel </w:t>
      </w:r>
      <w:r w:rsidR="004C0EAE">
        <w:fldChar w:fldCharType="begin"/>
      </w:r>
      <w:r w:rsidR="004C0EAE">
        <w:instrText xml:space="preserve"> SEQ Tabel \* ARABIC </w:instrText>
      </w:r>
      <w:r w:rsidR="004C0EAE">
        <w:fldChar w:fldCharType="separate"/>
      </w:r>
      <w:r w:rsidR="00D84B51">
        <w:rPr>
          <w:noProof/>
        </w:rPr>
        <w:t>16</w:t>
      </w:r>
      <w:r w:rsidR="004C0EAE">
        <w:rPr>
          <w:noProof/>
        </w:rPr>
        <w:fldChar w:fldCharType="end"/>
      </w:r>
      <w:bookmarkEnd w:id="265"/>
      <w:bookmarkEnd w:id="267"/>
      <w:r w:rsidRPr="001D6947">
        <w:t xml:space="preserve">. </w:t>
      </w:r>
      <w:r w:rsidR="00687E27" w:rsidRPr="001D6947">
        <w:t>202</w:t>
      </w:r>
      <w:r w:rsidR="000065F7" w:rsidRPr="001D6947">
        <w:t>1</w:t>
      </w:r>
      <w:r w:rsidR="00687E27" w:rsidRPr="001D6947">
        <w:t>. ja 202</w:t>
      </w:r>
      <w:r w:rsidR="000065F7" w:rsidRPr="001D6947">
        <w:t>2</w:t>
      </w:r>
      <w:r w:rsidR="00687E27" w:rsidRPr="001D6947">
        <w:t>.</w:t>
      </w:r>
      <w:r w:rsidR="00D43F85" w:rsidRPr="001D6947">
        <w:t xml:space="preserve"> </w:t>
      </w:r>
      <w:r w:rsidR="00687E27" w:rsidRPr="001D6947">
        <w:t>a</w:t>
      </w:r>
      <w:r w:rsidR="00D43F85" w:rsidRPr="001D6947">
        <w:t>asta</w:t>
      </w:r>
      <w:r w:rsidR="00687E27" w:rsidRPr="001D6947">
        <w:t xml:space="preserve"> tegelik riigieelarve täitmine ja </w:t>
      </w:r>
      <w:r w:rsidRPr="001D6947">
        <w:t>202</w:t>
      </w:r>
      <w:r w:rsidR="000065F7" w:rsidRPr="001D6947">
        <w:t>3</w:t>
      </w:r>
      <w:r w:rsidRPr="001D6947">
        <w:t>.-202</w:t>
      </w:r>
      <w:r w:rsidR="000065F7" w:rsidRPr="001D6947">
        <w:t>7</w:t>
      </w:r>
      <w:r w:rsidRPr="001D6947">
        <w:t>. aasta riigieelarve tulude prognoos</w:t>
      </w:r>
      <w:bookmarkEnd w:id="266"/>
      <w:bookmarkEnd w:id="268"/>
      <w:bookmarkEnd w:id="269"/>
    </w:p>
    <w:tbl>
      <w:tblPr>
        <w:tblStyle w:val="TableSubtle1"/>
        <w:tblW w:w="10348" w:type="dxa"/>
        <w:tblLook w:val="04A0" w:firstRow="1" w:lastRow="0" w:firstColumn="1" w:lastColumn="0" w:noHBand="0" w:noVBand="1"/>
      </w:tblPr>
      <w:tblGrid>
        <w:gridCol w:w="3261"/>
        <w:gridCol w:w="1134"/>
        <w:gridCol w:w="992"/>
        <w:gridCol w:w="992"/>
        <w:gridCol w:w="992"/>
        <w:gridCol w:w="993"/>
        <w:gridCol w:w="992"/>
        <w:gridCol w:w="992"/>
      </w:tblGrid>
      <w:tr w:rsidR="000065F7" w:rsidRPr="001D6947" w14:paraId="05E05646" w14:textId="77777777" w:rsidTr="00275A5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hideMark/>
          </w:tcPr>
          <w:p w14:paraId="24714CCD" w14:textId="77777777" w:rsidR="000065F7" w:rsidRPr="001D6947" w:rsidRDefault="000065F7" w:rsidP="000065F7">
            <w:pPr>
              <w:pStyle w:val="Tabelid"/>
            </w:pPr>
            <w:r w:rsidRPr="001D6947">
              <w:rPr>
                <w:b w:val="0"/>
              </w:rPr>
              <w:t> </w:t>
            </w:r>
          </w:p>
        </w:tc>
        <w:tc>
          <w:tcPr>
            <w:tcW w:w="1134" w:type="dxa"/>
          </w:tcPr>
          <w:p w14:paraId="299C1A88" w14:textId="1CAAC098" w:rsidR="000065F7" w:rsidRPr="001D6947" w:rsidRDefault="000065F7" w:rsidP="000065F7">
            <w:pPr>
              <w:pStyle w:val="Tabelid"/>
              <w:jc w:val="right"/>
              <w:cnfStyle w:val="100000000000" w:firstRow="1" w:lastRow="0" w:firstColumn="0" w:lastColumn="0" w:oddVBand="0" w:evenVBand="0" w:oddHBand="0" w:evenHBand="0" w:firstRowFirstColumn="0" w:firstRowLastColumn="0" w:lastRowFirstColumn="0" w:lastRowLastColumn="0"/>
            </w:pPr>
            <w:r w:rsidRPr="001D6947">
              <w:t>2021</w:t>
            </w:r>
          </w:p>
        </w:tc>
        <w:tc>
          <w:tcPr>
            <w:tcW w:w="992" w:type="dxa"/>
          </w:tcPr>
          <w:p w14:paraId="64B2A6E0" w14:textId="0E30E23E" w:rsidR="000065F7" w:rsidRPr="001D6947" w:rsidRDefault="000065F7" w:rsidP="000065F7">
            <w:pPr>
              <w:pStyle w:val="Tabelid"/>
              <w:jc w:val="right"/>
              <w:cnfStyle w:val="100000000000" w:firstRow="1" w:lastRow="0" w:firstColumn="0" w:lastColumn="0" w:oddVBand="0" w:evenVBand="0" w:oddHBand="0" w:evenHBand="0" w:firstRowFirstColumn="0" w:firstRowLastColumn="0" w:lastRowFirstColumn="0" w:lastRowLastColumn="0"/>
            </w:pPr>
            <w:r w:rsidRPr="001D6947">
              <w:t>2022</w:t>
            </w:r>
          </w:p>
        </w:tc>
        <w:tc>
          <w:tcPr>
            <w:tcW w:w="992" w:type="dxa"/>
            <w:hideMark/>
          </w:tcPr>
          <w:p w14:paraId="34B8C68D" w14:textId="1094972E" w:rsidR="000065F7" w:rsidRPr="001D6947" w:rsidRDefault="000065F7" w:rsidP="000065F7">
            <w:pPr>
              <w:pStyle w:val="Tabelid"/>
              <w:jc w:val="right"/>
              <w:cnfStyle w:val="100000000000" w:firstRow="1" w:lastRow="0" w:firstColumn="0" w:lastColumn="0" w:oddVBand="0" w:evenVBand="0" w:oddHBand="0" w:evenHBand="0" w:firstRowFirstColumn="0" w:firstRowLastColumn="0" w:lastRowFirstColumn="0" w:lastRowLastColumn="0"/>
            </w:pPr>
            <w:r w:rsidRPr="001D6947">
              <w:t>2023</w:t>
            </w:r>
          </w:p>
        </w:tc>
        <w:tc>
          <w:tcPr>
            <w:tcW w:w="992" w:type="dxa"/>
            <w:hideMark/>
          </w:tcPr>
          <w:p w14:paraId="2FA5EDA2" w14:textId="3E828099" w:rsidR="000065F7" w:rsidRPr="001D6947" w:rsidRDefault="000065F7" w:rsidP="000065F7">
            <w:pPr>
              <w:pStyle w:val="Tabelid"/>
              <w:jc w:val="right"/>
              <w:cnfStyle w:val="100000000000" w:firstRow="1" w:lastRow="0" w:firstColumn="0" w:lastColumn="0" w:oddVBand="0" w:evenVBand="0" w:oddHBand="0" w:evenHBand="0" w:firstRowFirstColumn="0" w:firstRowLastColumn="0" w:lastRowFirstColumn="0" w:lastRowLastColumn="0"/>
            </w:pPr>
            <w:r w:rsidRPr="001D6947">
              <w:t>2024</w:t>
            </w:r>
          </w:p>
        </w:tc>
        <w:tc>
          <w:tcPr>
            <w:tcW w:w="993" w:type="dxa"/>
            <w:hideMark/>
          </w:tcPr>
          <w:p w14:paraId="0B9A3499" w14:textId="30C58CA0" w:rsidR="000065F7" w:rsidRPr="001D6947" w:rsidRDefault="000065F7" w:rsidP="000065F7">
            <w:pPr>
              <w:pStyle w:val="Tabelid"/>
              <w:jc w:val="right"/>
              <w:cnfStyle w:val="100000000000" w:firstRow="1" w:lastRow="0" w:firstColumn="0" w:lastColumn="0" w:oddVBand="0" w:evenVBand="0" w:oddHBand="0" w:evenHBand="0" w:firstRowFirstColumn="0" w:firstRowLastColumn="0" w:lastRowFirstColumn="0" w:lastRowLastColumn="0"/>
            </w:pPr>
            <w:r w:rsidRPr="001D6947">
              <w:t>2025</w:t>
            </w:r>
          </w:p>
        </w:tc>
        <w:tc>
          <w:tcPr>
            <w:tcW w:w="992" w:type="dxa"/>
            <w:hideMark/>
          </w:tcPr>
          <w:p w14:paraId="35E095C5" w14:textId="074FBD6A" w:rsidR="000065F7" w:rsidRPr="001D6947" w:rsidRDefault="000065F7" w:rsidP="000065F7">
            <w:pPr>
              <w:pStyle w:val="Tabelid"/>
              <w:jc w:val="right"/>
              <w:cnfStyle w:val="100000000000" w:firstRow="1" w:lastRow="0" w:firstColumn="0" w:lastColumn="0" w:oddVBand="0" w:evenVBand="0" w:oddHBand="0" w:evenHBand="0" w:firstRowFirstColumn="0" w:firstRowLastColumn="0" w:lastRowFirstColumn="0" w:lastRowLastColumn="0"/>
            </w:pPr>
            <w:r w:rsidRPr="001D6947">
              <w:t>2026</w:t>
            </w:r>
          </w:p>
        </w:tc>
        <w:tc>
          <w:tcPr>
            <w:tcW w:w="992" w:type="dxa"/>
            <w:hideMark/>
          </w:tcPr>
          <w:p w14:paraId="03DE6549" w14:textId="510544A9" w:rsidR="000065F7" w:rsidRPr="001D6947" w:rsidRDefault="000065F7" w:rsidP="000065F7">
            <w:pPr>
              <w:pStyle w:val="Tabelid"/>
              <w:jc w:val="right"/>
              <w:cnfStyle w:val="100000000000" w:firstRow="1" w:lastRow="0" w:firstColumn="0" w:lastColumn="0" w:oddVBand="0" w:evenVBand="0" w:oddHBand="0" w:evenHBand="0" w:firstRowFirstColumn="0" w:firstRowLastColumn="0" w:lastRowFirstColumn="0" w:lastRowLastColumn="0"/>
            </w:pPr>
            <w:r w:rsidRPr="001D6947">
              <w:t>2027</w:t>
            </w:r>
          </w:p>
        </w:tc>
      </w:tr>
      <w:tr w:rsidR="00B666BA" w:rsidRPr="00B56E1F" w14:paraId="4DECD145" w14:textId="77777777" w:rsidTr="00A07249">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A5A6A1D" w14:textId="72B2AF1D" w:rsidR="00B666BA" w:rsidRPr="00B56E1F" w:rsidRDefault="00B666BA" w:rsidP="00B666BA">
            <w:pPr>
              <w:pStyle w:val="Tabelid"/>
              <w:rPr>
                <w:bCs/>
              </w:rPr>
            </w:pPr>
            <w:r w:rsidRPr="00B56E1F">
              <w:t>Maksud ja sotsiaalkindlustusmaksed</w:t>
            </w:r>
          </w:p>
        </w:tc>
        <w:tc>
          <w:tcPr>
            <w:tcW w:w="1134" w:type="dxa"/>
            <w:vAlign w:val="center"/>
          </w:tcPr>
          <w:p w14:paraId="49A5943B" w14:textId="082EE4F4"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10 787,8</w:t>
            </w:r>
          </w:p>
        </w:tc>
        <w:tc>
          <w:tcPr>
            <w:tcW w:w="992" w:type="dxa"/>
            <w:vAlign w:val="center"/>
          </w:tcPr>
          <w:p w14:paraId="70347006" w14:textId="70B02589"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11 948,5</w:t>
            </w:r>
          </w:p>
        </w:tc>
        <w:tc>
          <w:tcPr>
            <w:tcW w:w="992" w:type="dxa"/>
            <w:vAlign w:val="center"/>
          </w:tcPr>
          <w:p w14:paraId="26BA9928" w14:textId="1152F6D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12957,4</w:t>
            </w:r>
          </w:p>
        </w:tc>
        <w:tc>
          <w:tcPr>
            <w:tcW w:w="992" w:type="dxa"/>
            <w:vAlign w:val="center"/>
          </w:tcPr>
          <w:p w14:paraId="5F925A7D" w14:textId="11022FA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13924,4</w:t>
            </w:r>
          </w:p>
        </w:tc>
        <w:tc>
          <w:tcPr>
            <w:tcW w:w="993" w:type="dxa"/>
            <w:vAlign w:val="center"/>
          </w:tcPr>
          <w:p w14:paraId="0CA647C7" w14:textId="78C6F27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14329,0</w:t>
            </w:r>
          </w:p>
        </w:tc>
        <w:tc>
          <w:tcPr>
            <w:tcW w:w="992" w:type="dxa"/>
            <w:vAlign w:val="center"/>
          </w:tcPr>
          <w:p w14:paraId="621C5304" w14:textId="3FD1C0FD"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15230,9</w:t>
            </w:r>
          </w:p>
        </w:tc>
        <w:tc>
          <w:tcPr>
            <w:tcW w:w="992" w:type="dxa"/>
            <w:vAlign w:val="center"/>
          </w:tcPr>
          <w:p w14:paraId="73A9A35B" w14:textId="39BA7F6C"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15853,3</w:t>
            </w:r>
          </w:p>
        </w:tc>
      </w:tr>
      <w:tr w:rsidR="00B666BA" w:rsidRPr="00B56E1F" w14:paraId="23D2BC24"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11251D9C" w14:textId="7531807D" w:rsidR="00B666BA" w:rsidRPr="00B56E1F" w:rsidRDefault="00B666BA" w:rsidP="00B666BA">
            <w:pPr>
              <w:pStyle w:val="Tabelid"/>
              <w:rPr>
                <w:b w:val="0"/>
                <w:bCs/>
              </w:rPr>
            </w:pPr>
            <w:r w:rsidRPr="00B56E1F">
              <w:rPr>
                <w:b w:val="0"/>
                <w:bCs/>
              </w:rPr>
              <w:t>Füüsilise isiku tulumaks (RE osa)</w:t>
            </w:r>
          </w:p>
        </w:tc>
        <w:tc>
          <w:tcPr>
            <w:tcW w:w="1134" w:type="dxa"/>
            <w:vAlign w:val="center"/>
          </w:tcPr>
          <w:p w14:paraId="57ED9F78" w14:textId="045CD208"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791,2</w:t>
            </w:r>
          </w:p>
        </w:tc>
        <w:tc>
          <w:tcPr>
            <w:tcW w:w="992" w:type="dxa"/>
            <w:vAlign w:val="center"/>
          </w:tcPr>
          <w:p w14:paraId="520BA877" w14:textId="21AFABD8"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753,8</w:t>
            </w:r>
          </w:p>
        </w:tc>
        <w:tc>
          <w:tcPr>
            <w:tcW w:w="992" w:type="dxa"/>
            <w:vAlign w:val="center"/>
          </w:tcPr>
          <w:p w14:paraId="244AD053" w14:textId="66FFE607"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723,0</w:t>
            </w:r>
          </w:p>
        </w:tc>
        <w:tc>
          <w:tcPr>
            <w:tcW w:w="992" w:type="dxa"/>
            <w:vAlign w:val="center"/>
          </w:tcPr>
          <w:p w14:paraId="6526B3A0" w14:textId="6983718A"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614,0</w:t>
            </w:r>
          </w:p>
        </w:tc>
        <w:tc>
          <w:tcPr>
            <w:tcW w:w="993" w:type="dxa"/>
            <w:vAlign w:val="center"/>
          </w:tcPr>
          <w:p w14:paraId="18C5F92A" w14:textId="27E779A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214,0</w:t>
            </w:r>
          </w:p>
        </w:tc>
        <w:tc>
          <w:tcPr>
            <w:tcW w:w="992" w:type="dxa"/>
            <w:vAlign w:val="center"/>
          </w:tcPr>
          <w:p w14:paraId="7DF47348" w14:textId="6D20129C"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415,0</w:t>
            </w:r>
          </w:p>
        </w:tc>
        <w:tc>
          <w:tcPr>
            <w:tcW w:w="992" w:type="dxa"/>
            <w:vAlign w:val="center"/>
          </w:tcPr>
          <w:p w14:paraId="25F785BF" w14:textId="24DE7EF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445,0</w:t>
            </w:r>
          </w:p>
        </w:tc>
      </w:tr>
      <w:tr w:rsidR="00B666BA" w:rsidRPr="00B56E1F" w14:paraId="44B1599E"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66887D0E" w14:textId="4E89A56B" w:rsidR="00B666BA" w:rsidRPr="00B56E1F" w:rsidRDefault="00B666BA" w:rsidP="00B666BA">
            <w:pPr>
              <w:pStyle w:val="Tabelid"/>
              <w:rPr>
                <w:b w:val="0"/>
                <w:bCs/>
              </w:rPr>
            </w:pPr>
            <w:r w:rsidRPr="00B56E1F">
              <w:rPr>
                <w:b w:val="0"/>
                <w:bCs/>
              </w:rPr>
              <w:t>Füüsilise isiku tulumaks (KOV osa)</w:t>
            </w:r>
          </w:p>
        </w:tc>
        <w:tc>
          <w:tcPr>
            <w:tcW w:w="1134" w:type="dxa"/>
            <w:vAlign w:val="center"/>
          </w:tcPr>
          <w:p w14:paraId="1D3262F8" w14:textId="3B46AA5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1355,0</w:t>
            </w:r>
          </w:p>
        </w:tc>
        <w:tc>
          <w:tcPr>
            <w:tcW w:w="992" w:type="dxa"/>
            <w:vAlign w:val="center"/>
          </w:tcPr>
          <w:p w14:paraId="310B989D" w14:textId="335D74E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1525,7</w:t>
            </w:r>
          </w:p>
        </w:tc>
        <w:tc>
          <w:tcPr>
            <w:tcW w:w="992" w:type="dxa"/>
            <w:vAlign w:val="center"/>
          </w:tcPr>
          <w:p w14:paraId="24EA94AE" w14:textId="59E47F9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1 701,0</w:t>
            </w:r>
          </w:p>
        </w:tc>
        <w:tc>
          <w:tcPr>
            <w:tcW w:w="992" w:type="dxa"/>
            <w:vAlign w:val="center"/>
          </w:tcPr>
          <w:p w14:paraId="5656A24A" w14:textId="4BCB9A2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1 869,0</w:t>
            </w:r>
          </w:p>
        </w:tc>
        <w:tc>
          <w:tcPr>
            <w:tcW w:w="993" w:type="dxa"/>
            <w:vAlign w:val="center"/>
          </w:tcPr>
          <w:p w14:paraId="549CCADF" w14:textId="20ACCB37"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1 984,0</w:t>
            </w:r>
          </w:p>
        </w:tc>
        <w:tc>
          <w:tcPr>
            <w:tcW w:w="992" w:type="dxa"/>
            <w:vAlign w:val="center"/>
          </w:tcPr>
          <w:p w14:paraId="1E1FAC9F" w14:textId="3CF03FD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2 082,0</w:t>
            </w:r>
          </w:p>
        </w:tc>
        <w:tc>
          <w:tcPr>
            <w:tcW w:w="992" w:type="dxa"/>
            <w:vAlign w:val="center"/>
          </w:tcPr>
          <w:p w14:paraId="402E20E9" w14:textId="5440261B"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2 175,0</w:t>
            </w:r>
          </w:p>
        </w:tc>
      </w:tr>
      <w:tr w:rsidR="00B666BA" w:rsidRPr="00B56E1F" w14:paraId="0AADAC97"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62C7ED78" w14:textId="3DAA259E" w:rsidR="00B666BA" w:rsidRPr="00B56E1F" w:rsidRDefault="00B666BA" w:rsidP="00B666BA">
            <w:pPr>
              <w:pStyle w:val="Tabelid"/>
              <w:rPr>
                <w:b w:val="0"/>
                <w:bCs/>
              </w:rPr>
            </w:pPr>
            <w:r w:rsidRPr="00B56E1F">
              <w:rPr>
                <w:b w:val="0"/>
                <w:bCs/>
              </w:rPr>
              <w:t>Juriidilise isiku tulumaks</w:t>
            </w:r>
          </w:p>
        </w:tc>
        <w:tc>
          <w:tcPr>
            <w:tcW w:w="1134" w:type="dxa"/>
            <w:vAlign w:val="center"/>
          </w:tcPr>
          <w:p w14:paraId="2AEE0417" w14:textId="505C25D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481,2</w:t>
            </w:r>
          </w:p>
        </w:tc>
        <w:tc>
          <w:tcPr>
            <w:tcW w:w="992" w:type="dxa"/>
            <w:vAlign w:val="center"/>
          </w:tcPr>
          <w:p w14:paraId="081FA4A0" w14:textId="6084CBDA"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596,1</w:t>
            </w:r>
          </w:p>
        </w:tc>
        <w:tc>
          <w:tcPr>
            <w:tcW w:w="992" w:type="dxa"/>
            <w:vAlign w:val="center"/>
          </w:tcPr>
          <w:p w14:paraId="40FB3F6E" w14:textId="03BCDBD7"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726,0</w:t>
            </w:r>
          </w:p>
        </w:tc>
        <w:tc>
          <w:tcPr>
            <w:tcW w:w="992" w:type="dxa"/>
            <w:vAlign w:val="center"/>
          </w:tcPr>
          <w:p w14:paraId="01BD265F" w14:textId="69A91CA4"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742,0</w:t>
            </w:r>
          </w:p>
        </w:tc>
        <w:tc>
          <w:tcPr>
            <w:tcW w:w="993" w:type="dxa"/>
            <w:vAlign w:val="center"/>
          </w:tcPr>
          <w:p w14:paraId="5075C1F5" w14:textId="3BCED318"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813,0</w:t>
            </w:r>
          </w:p>
        </w:tc>
        <w:tc>
          <w:tcPr>
            <w:tcW w:w="992" w:type="dxa"/>
            <w:vAlign w:val="center"/>
          </w:tcPr>
          <w:p w14:paraId="509EBDBB" w14:textId="717DBF4C"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880,0</w:t>
            </w:r>
          </w:p>
        </w:tc>
        <w:tc>
          <w:tcPr>
            <w:tcW w:w="992" w:type="dxa"/>
            <w:vAlign w:val="center"/>
          </w:tcPr>
          <w:p w14:paraId="74E184B9" w14:textId="013C108F"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895,0</w:t>
            </w:r>
          </w:p>
        </w:tc>
      </w:tr>
      <w:tr w:rsidR="00B666BA" w:rsidRPr="00B56E1F" w14:paraId="5CB38FB7"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43C2C83D" w14:textId="54692952" w:rsidR="00B666BA" w:rsidRPr="00B56E1F" w:rsidRDefault="00B666BA" w:rsidP="00B666BA">
            <w:pPr>
              <w:pStyle w:val="Tabelid"/>
              <w:rPr>
                <w:b w:val="0"/>
                <w:bCs/>
              </w:rPr>
            </w:pPr>
            <w:r w:rsidRPr="00B56E1F">
              <w:rPr>
                <w:b w:val="0"/>
                <w:bCs/>
              </w:rPr>
              <w:t>Sotsiaalmaks</w:t>
            </w:r>
          </w:p>
        </w:tc>
        <w:tc>
          <w:tcPr>
            <w:tcW w:w="1134" w:type="dxa"/>
            <w:vAlign w:val="center"/>
          </w:tcPr>
          <w:p w14:paraId="2288AC85" w14:textId="47FFDB8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3732,3</w:t>
            </w:r>
          </w:p>
        </w:tc>
        <w:tc>
          <w:tcPr>
            <w:tcW w:w="992" w:type="dxa"/>
            <w:vAlign w:val="center"/>
          </w:tcPr>
          <w:p w14:paraId="704F346B" w14:textId="34887B1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4149,1</w:t>
            </w:r>
          </w:p>
        </w:tc>
        <w:tc>
          <w:tcPr>
            <w:tcW w:w="992" w:type="dxa"/>
            <w:vAlign w:val="center"/>
          </w:tcPr>
          <w:p w14:paraId="299ADF5D" w14:textId="7829E38C"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4 610,0</w:t>
            </w:r>
          </w:p>
        </w:tc>
        <w:tc>
          <w:tcPr>
            <w:tcW w:w="992" w:type="dxa"/>
            <w:vAlign w:val="center"/>
          </w:tcPr>
          <w:p w14:paraId="3577BB3E" w14:textId="21E4BB6D"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4 950,0</w:t>
            </w:r>
          </w:p>
        </w:tc>
        <w:tc>
          <w:tcPr>
            <w:tcW w:w="993" w:type="dxa"/>
            <w:vAlign w:val="center"/>
          </w:tcPr>
          <w:p w14:paraId="4D5705CD" w14:textId="475D971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5 260,0</w:t>
            </w:r>
          </w:p>
        </w:tc>
        <w:tc>
          <w:tcPr>
            <w:tcW w:w="992" w:type="dxa"/>
            <w:vAlign w:val="center"/>
          </w:tcPr>
          <w:p w14:paraId="1E865FDE" w14:textId="52A1301A"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5 530,0</w:t>
            </w:r>
          </w:p>
        </w:tc>
        <w:tc>
          <w:tcPr>
            <w:tcW w:w="992" w:type="dxa"/>
            <w:vAlign w:val="center"/>
          </w:tcPr>
          <w:p w14:paraId="24188BAF" w14:textId="1C4F6329"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5 790,0</w:t>
            </w:r>
          </w:p>
        </w:tc>
      </w:tr>
      <w:tr w:rsidR="00B666BA" w:rsidRPr="00B56E1F" w14:paraId="7D5C0460"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6F9D42D5" w14:textId="68D2E1B0" w:rsidR="00B666BA" w:rsidRPr="00B56E1F" w:rsidRDefault="00B666BA" w:rsidP="00B666BA">
            <w:pPr>
              <w:pStyle w:val="Tabelid"/>
              <w:rPr>
                <w:b w:val="0"/>
                <w:bCs/>
              </w:rPr>
            </w:pPr>
            <w:r w:rsidRPr="00B56E1F">
              <w:rPr>
                <w:b w:val="0"/>
                <w:bCs/>
              </w:rPr>
              <w:t>Raskeveokimaks</w:t>
            </w:r>
          </w:p>
        </w:tc>
        <w:tc>
          <w:tcPr>
            <w:tcW w:w="1134" w:type="dxa"/>
            <w:vAlign w:val="center"/>
          </w:tcPr>
          <w:p w14:paraId="7F19E008" w14:textId="73D35A2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5,0</w:t>
            </w:r>
          </w:p>
        </w:tc>
        <w:tc>
          <w:tcPr>
            <w:tcW w:w="992" w:type="dxa"/>
            <w:vAlign w:val="center"/>
          </w:tcPr>
          <w:p w14:paraId="1EB4A073" w14:textId="328E1DC4"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5,1</w:t>
            </w:r>
          </w:p>
        </w:tc>
        <w:tc>
          <w:tcPr>
            <w:tcW w:w="992" w:type="dxa"/>
            <w:vAlign w:val="center"/>
          </w:tcPr>
          <w:p w14:paraId="127C13E7" w14:textId="7E600B9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5,0</w:t>
            </w:r>
          </w:p>
        </w:tc>
        <w:tc>
          <w:tcPr>
            <w:tcW w:w="992" w:type="dxa"/>
            <w:vAlign w:val="center"/>
          </w:tcPr>
          <w:p w14:paraId="3D143A44" w14:textId="1155575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4,9</w:t>
            </w:r>
          </w:p>
        </w:tc>
        <w:tc>
          <w:tcPr>
            <w:tcW w:w="993" w:type="dxa"/>
            <w:vAlign w:val="center"/>
          </w:tcPr>
          <w:p w14:paraId="4C0C2921" w14:textId="5907F5CA"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4,9</w:t>
            </w:r>
          </w:p>
        </w:tc>
        <w:tc>
          <w:tcPr>
            <w:tcW w:w="992" w:type="dxa"/>
            <w:vAlign w:val="center"/>
          </w:tcPr>
          <w:p w14:paraId="0992BC72" w14:textId="753A3CB1"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4,8</w:t>
            </w:r>
          </w:p>
        </w:tc>
        <w:tc>
          <w:tcPr>
            <w:tcW w:w="992" w:type="dxa"/>
            <w:vAlign w:val="center"/>
          </w:tcPr>
          <w:p w14:paraId="5D5412A4" w14:textId="217F268B"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4,8</w:t>
            </w:r>
          </w:p>
        </w:tc>
      </w:tr>
      <w:tr w:rsidR="00B666BA" w:rsidRPr="00B56E1F" w14:paraId="0A5F8718"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4E20DF2B" w14:textId="07DE7E93" w:rsidR="00B666BA" w:rsidRPr="00B56E1F" w:rsidRDefault="00B666BA" w:rsidP="00B666BA">
            <w:pPr>
              <w:pStyle w:val="Tabelid"/>
              <w:rPr>
                <w:b w:val="0"/>
                <w:bCs/>
              </w:rPr>
            </w:pPr>
            <w:r w:rsidRPr="00B56E1F">
              <w:rPr>
                <w:b w:val="0"/>
                <w:bCs/>
              </w:rPr>
              <w:t>Käibemaks</w:t>
            </w:r>
          </w:p>
        </w:tc>
        <w:tc>
          <w:tcPr>
            <w:tcW w:w="1134" w:type="dxa"/>
            <w:vAlign w:val="center"/>
          </w:tcPr>
          <w:p w14:paraId="5E1E5E0B" w14:textId="793581A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2877,1</w:t>
            </w:r>
          </w:p>
        </w:tc>
        <w:tc>
          <w:tcPr>
            <w:tcW w:w="992" w:type="dxa"/>
            <w:vAlign w:val="center"/>
          </w:tcPr>
          <w:p w14:paraId="4E0ABBA4" w14:textId="659795FA"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3308,8</w:t>
            </w:r>
          </w:p>
        </w:tc>
        <w:tc>
          <w:tcPr>
            <w:tcW w:w="992" w:type="dxa"/>
            <w:vAlign w:val="center"/>
          </w:tcPr>
          <w:p w14:paraId="0CCD4EC9" w14:textId="5140194B"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3 572,0</w:t>
            </w:r>
          </w:p>
        </w:tc>
        <w:tc>
          <w:tcPr>
            <w:tcW w:w="992" w:type="dxa"/>
            <w:vAlign w:val="center"/>
          </w:tcPr>
          <w:p w14:paraId="3B541E15" w14:textId="4A0904EA"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4 055,0</w:t>
            </w:r>
          </w:p>
        </w:tc>
        <w:tc>
          <w:tcPr>
            <w:tcW w:w="993" w:type="dxa"/>
            <w:vAlign w:val="center"/>
          </w:tcPr>
          <w:p w14:paraId="2512D3C9" w14:textId="5F450663"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4 275,0</w:t>
            </w:r>
          </w:p>
        </w:tc>
        <w:tc>
          <w:tcPr>
            <w:tcW w:w="992" w:type="dxa"/>
            <w:vAlign w:val="center"/>
          </w:tcPr>
          <w:p w14:paraId="5E539CC9" w14:textId="50633083"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4 460,0</w:t>
            </w:r>
          </w:p>
        </w:tc>
        <w:tc>
          <w:tcPr>
            <w:tcW w:w="992" w:type="dxa"/>
            <w:vAlign w:val="center"/>
          </w:tcPr>
          <w:p w14:paraId="48B2B1E5" w14:textId="7020B0C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4 585,0</w:t>
            </w:r>
          </w:p>
        </w:tc>
      </w:tr>
      <w:tr w:rsidR="00B666BA" w:rsidRPr="00B56E1F" w14:paraId="0F388C58"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DCE6296" w14:textId="207AF9A8" w:rsidR="00B666BA" w:rsidRPr="00B56E1F" w:rsidRDefault="00B666BA" w:rsidP="00B666BA">
            <w:pPr>
              <w:pStyle w:val="Tabelid"/>
              <w:rPr>
                <w:b w:val="0"/>
                <w:bCs/>
              </w:rPr>
            </w:pPr>
            <w:r w:rsidRPr="00B56E1F">
              <w:rPr>
                <w:b w:val="0"/>
                <w:bCs/>
              </w:rPr>
              <w:t>Aktsiisid</w:t>
            </w:r>
          </w:p>
        </w:tc>
        <w:tc>
          <w:tcPr>
            <w:tcW w:w="1134" w:type="dxa"/>
            <w:vAlign w:val="center"/>
          </w:tcPr>
          <w:p w14:paraId="41A8D72E" w14:textId="41A7BE5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981,4</w:t>
            </w:r>
          </w:p>
        </w:tc>
        <w:tc>
          <w:tcPr>
            <w:tcW w:w="992" w:type="dxa"/>
            <w:vAlign w:val="center"/>
          </w:tcPr>
          <w:p w14:paraId="0553CC84" w14:textId="6A04BEB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995,7</w:t>
            </w:r>
          </w:p>
        </w:tc>
        <w:tc>
          <w:tcPr>
            <w:tcW w:w="992" w:type="dxa"/>
            <w:vAlign w:val="center"/>
          </w:tcPr>
          <w:p w14:paraId="7AD99E65" w14:textId="023DA943"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1 003,9</w:t>
            </w:r>
          </w:p>
        </w:tc>
        <w:tc>
          <w:tcPr>
            <w:tcW w:w="992" w:type="dxa"/>
            <w:vAlign w:val="center"/>
          </w:tcPr>
          <w:p w14:paraId="099E7C9C" w14:textId="3357CA55"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1 031,1</w:t>
            </w:r>
          </w:p>
        </w:tc>
        <w:tc>
          <w:tcPr>
            <w:tcW w:w="993" w:type="dxa"/>
            <w:vAlign w:val="center"/>
          </w:tcPr>
          <w:p w14:paraId="201F2026" w14:textId="13605832"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1 085,8</w:t>
            </w:r>
          </w:p>
        </w:tc>
        <w:tc>
          <w:tcPr>
            <w:tcW w:w="992" w:type="dxa"/>
            <w:vAlign w:val="center"/>
          </w:tcPr>
          <w:p w14:paraId="65212379" w14:textId="703BCBC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1 129,6</w:t>
            </w:r>
          </w:p>
        </w:tc>
        <w:tc>
          <w:tcPr>
            <w:tcW w:w="992" w:type="dxa"/>
            <w:vAlign w:val="center"/>
          </w:tcPr>
          <w:p w14:paraId="435AD8B6" w14:textId="2C08293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1197,8</w:t>
            </w:r>
          </w:p>
        </w:tc>
      </w:tr>
      <w:tr w:rsidR="00B666BA" w:rsidRPr="00B56E1F" w14:paraId="55927486"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76CD7BA" w14:textId="55635970" w:rsidR="00B666BA" w:rsidRPr="00B56E1F" w:rsidRDefault="00B666BA" w:rsidP="00B666BA">
            <w:pPr>
              <w:pStyle w:val="Tabelid"/>
              <w:rPr>
                <w:b w:val="0"/>
                <w:bCs/>
              </w:rPr>
            </w:pPr>
            <w:r w:rsidRPr="00B56E1F">
              <w:rPr>
                <w:b w:val="0"/>
                <w:bCs/>
              </w:rPr>
              <w:t xml:space="preserve">    Alkoholiaktsiis</w:t>
            </w:r>
          </w:p>
        </w:tc>
        <w:tc>
          <w:tcPr>
            <w:tcW w:w="1134" w:type="dxa"/>
            <w:vAlign w:val="center"/>
          </w:tcPr>
          <w:p w14:paraId="759CA02E" w14:textId="18F6D94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223,3</w:t>
            </w:r>
          </w:p>
        </w:tc>
        <w:tc>
          <w:tcPr>
            <w:tcW w:w="992" w:type="dxa"/>
            <w:vAlign w:val="center"/>
          </w:tcPr>
          <w:p w14:paraId="14BA0BF6" w14:textId="087275F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240,8</w:t>
            </w:r>
          </w:p>
        </w:tc>
        <w:tc>
          <w:tcPr>
            <w:tcW w:w="992" w:type="dxa"/>
            <w:vAlign w:val="center"/>
          </w:tcPr>
          <w:p w14:paraId="40698A99" w14:textId="4E728E0D"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252,0</w:t>
            </w:r>
          </w:p>
        </w:tc>
        <w:tc>
          <w:tcPr>
            <w:tcW w:w="992" w:type="dxa"/>
            <w:vAlign w:val="center"/>
          </w:tcPr>
          <w:p w14:paraId="2BF6EC32" w14:textId="3CEB72F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251,0</w:t>
            </w:r>
          </w:p>
        </w:tc>
        <w:tc>
          <w:tcPr>
            <w:tcW w:w="993" w:type="dxa"/>
            <w:vAlign w:val="center"/>
          </w:tcPr>
          <w:p w14:paraId="3AD0011F" w14:textId="45CD9A9B"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265,0</w:t>
            </w:r>
          </w:p>
        </w:tc>
        <w:tc>
          <w:tcPr>
            <w:tcW w:w="992" w:type="dxa"/>
            <w:vAlign w:val="center"/>
          </w:tcPr>
          <w:p w14:paraId="58C7DCA0" w14:textId="52008912"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263,0</w:t>
            </w:r>
          </w:p>
        </w:tc>
        <w:tc>
          <w:tcPr>
            <w:tcW w:w="992" w:type="dxa"/>
            <w:vAlign w:val="center"/>
          </w:tcPr>
          <w:p w14:paraId="0667C237" w14:textId="3D25476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283,0</w:t>
            </w:r>
          </w:p>
        </w:tc>
      </w:tr>
      <w:tr w:rsidR="00B666BA" w:rsidRPr="00B56E1F" w14:paraId="750902C6"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6E8D0986" w14:textId="227F2931" w:rsidR="00B666BA" w:rsidRPr="00B56E1F" w:rsidRDefault="00B666BA" w:rsidP="00B666BA">
            <w:pPr>
              <w:pStyle w:val="Tabelid"/>
              <w:rPr>
                <w:b w:val="0"/>
                <w:bCs/>
              </w:rPr>
            </w:pPr>
            <w:r w:rsidRPr="00B56E1F">
              <w:rPr>
                <w:b w:val="0"/>
                <w:bCs/>
              </w:rPr>
              <w:t xml:space="preserve">    Tubakaaktsiis</w:t>
            </w:r>
          </w:p>
        </w:tc>
        <w:tc>
          <w:tcPr>
            <w:tcW w:w="1134" w:type="dxa"/>
            <w:vAlign w:val="center"/>
          </w:tcPr>
          <w:p w14:paraId="33B35982" w14:textId="19DF9B0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242,4</w:t>
            </w:r>
          </w:p>
        </w:tc>
        <w:tc>
          <w:tcPr>
            <w:tcW w:w="992" w:type="dxa"/>
            <w:vAlign w:val="center"/>
          </w:tcPr>
          <w:p w14:paraId="027DA593" w14:textId="275533D7"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246,3</w:t>
            </w:r>
          </w:p>
        </w:tc>
        <w:tc>
          <w:tcPr>
            <w:tcW w:w="992" w:type="dxa"/>
            <w:vAlign w:val="center"/>
          </w:tcPr>
          <w:p w14:paraId="2945A79C" w14:textId="7C0202D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255,0</w:t>
            </w:r>
          </w:p>
        </w:tc>
        <w:tc>
          <w:tcPr>
            <w:tcW w:w="992" w:type="dxa"/>
            <w:vAlign w:val="center"/>
          </w:tcPr>
          <w:p w14:paraId="703BCFC8" w14:textId="2BCC34D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254,0</w:t>
            </w:r>
          </w:p>
        </w:tc>
        <w:tc>
          <w:tcPr>
            <w:tcW w:w="993" w:type="dxa"/>
            <w:vAlign w:val="center"/>
          </w:tcPr>
          <w:p w14:paraId="419F20C5" w14:textId="3D36E15A"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258,0</w:t>
            </w:r>
          </w:p>
        </w:tc>
        <w:tc>
          <w:tcPr>
            <w:tcW w:w="992" w:type="dxa"/>
            <w:vAlign w:val="center"/>
          </w:tcPr>
          <w:p w14:paraId="10B8FBD0" w14:textId="4F7C4283"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259,0</w:t>
            </w:r>
          </w:p>
        </w:tc>
        <w:tc>
          <w:tcPr>
            <w:tcW w:w="992" w:type="dxa"/>
            <w:vAlign w:val="center"/>
          </w:tcPr>
          <w:p w14:paraId="23A110AA" w14:textId="29CC61C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260,0</w:t>
            </w:r>
          </w:p>
        </w:tc>
      </w:tr>
      <w:tr w:rsidR="00B666BA" w:rsidRPr="00B56E1F" w14:paraId="2D0F764F"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75BC6EE5" w14:textId="6FDADD44" w:rsidR="00B666BA" w:rsidRPr="00B56E1F" w:rsidRDefault="00B666BA" w:rsidP="00B666BA">
            <w:pPr>
              <w:pStyle w:val="Tabelid"/>
              <w:rPr>
                <w:b w:val="0"/>
                <w:bCs/>
              </w:rPr>
            </w:pPr>
            <w:r w:rsidRPr="00B56E1F">
              <w:rPr>
                <w:b w:val="0"/>
                <w:bCs/>
              </w:rPr>
              <w:t xml:space="preserve">    Kütuseaktsiis</w:t>
            </w:r>
          </w:p>
        </w:tc>
        <w:tc>
          <w:tcPr>
            <w:tcW w:w="1134" w:type="dxa"/>
            <w:vAlign w:val="center"/>
          </w:tcPr>
          <w:p w14:paraId="58F748E4" w14:textId="5CCED87B"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506,8</w:t>
            </w:r>
          </w:p>
        </w:tc>
        <w:tc>
          <w:tcPr>
            <w:tcW w:w="992" w:type="dxa"/>
            <w:vAlign w:val="center"/>
          </w:tcPr>
          <w:p w14:paraId="21B43CDB" w14:textId="5613661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500,3</w:t>
            </w:r>
          </w:p>
        </w:tc>
        <w:tc>
          <w:tcPr>
            <w:tcW w:w="992" w:type="dxa"/>
            <w:vAlign w:val="center"/>
          </w:tcPr>
          <w:p w14:paraId="1A8F51DC" w14:textId="61434E9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489,0</w:t>
            </w:r>
          </w:p>
        </w:tc>
        <w:tc>
          <w:tcPr>
            <w:tcW w:w="992" w:type="dxa"/>
            <w:vAlign w:val="center"/>
          </w:tcPr>
          <w:p w14:paraId="07443686" w14:textId="2C281EE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516,0</w:t>
            </w:r>
          </w:p>
        </w:tc>
        <w:tc>
          <w:tcPr>
            <w:tcW w:w="993" w:type="dxa"/>
            <w:vAlign w:val="center"/>
          </w:tcPr>
          <w:p w14:paraId="5EEC5EBC" w14:textId="0657AC4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548,0</w:t>
            </w:r>
          </w:p>
        </w:tc>
        <w:tc>
          <w:tcPr>
            <w:tcW w:w="992" w:type="dxa"/>
            <w:vAlign w:val="center"/>
          </w:tcPr>
          <w:p w14:paraId="2CFB4B02" w14:textId="474C7F0E"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586,0</w:t>
            </w:r>
          </w:p>
        </w:tc>
        <w:tc>
          <w:tcPr>
            <w:tcW w:w="992" w:type="dxa"/>
            <w:vAlign w:val="center"/>
          </w:tcPr>
          <w:p w14:paraId="3F79571B" w14:textId="5FBE5B5A"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623,0</w:t>
            </w:r>
          </w:p>
        </w:tc>
      </w:tr>
      <w:tr w:rsidR="00B666BA" w:rsidRPr="00B56E1F" w14:paraId="190501F0"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453A83D3" w14:textId="26437895" w:rsidR="00B666BA" w:rsidRPr="00B56E1F" w:rsidRDefault="00B666BA" w:rsidP="00B666BA">
            <w:pPr>
              <w:pStyle w:val="Tabelid"/>
              <w:rPr>
                <w:b w:val="0"/>
                <w:bCs/>
              </w:rPr>
            </w:pPr>
            <w:r w:rsidRPr="00B56E1F">
              <w:rPr>
                <w:b w:val="0"/>
                <w:bCs/>
              </w:rPr>
              <w:t xml:space="preserve">    Pakendiaktsiis</w:t>
            </w:r>
          </w:p>
        </w:tc>
        <w:tc>
          <w:tcPr>
            <w:tcW w:w="1134" w:type="dxa"/>
            <w:vAlign w:val="center"/>
          </w:tcPr>
          <w:p w14:paraId="70E0084C" w14:textId="78573C3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0,4</w:t>
            </w:r>
          </w:p>
        </w:tc>
        <w:tc>
          <w:tcPr>
            <w:tcW w:w="992" w:type="dxa"/>
            <w:vAlign w:val="center"/>
          </w:tcPr>
          <w:p w14:paraId="5DAB32DC" w14:textId="3C06B5A8"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0,3</w:t>
            </w:r>
          </w:p>
        </w:tc>
        <w:tc>
          <w:tcPr>
            <w:tcW w:w="992" w:type="dxa"/>
            <w:vAlign w:val="center"/>
          </w:tcPr>
          <w:p w14:paraId="0BCB0774" w14:textId="3B26BA7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0,3</w:t>
            </w:r>
          </w:p>
        </w:tc>
        <w:tc>
          <w:tcPr>
            <w:tcW w:w="992" w:type="dxa"/>
            <w:vAlign w:val="center"/>
          </w:tcPr>
          <w:p w14:paraId="06E9A557" w14:textId="2729ED8E"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0,3</w:t>
            </w:r>
          </w:p>
        </w:tc>
        <w:tc>
          <w:tcPr>
            <w:tcW w:w="993" w:type="dxa"/>
            <w:vAlign w:val="center"/>
          </w:tcPr>
          <w:p w14:paraId="4C78B6EC" w14:textId="0DF9DD0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0,3</w:t>
            </w:r>
          </w:p>
        </w:tc>
        <w:tc>
          <w:tcPr>
            <w:tcW w:w="992" w:type="dxa"/>
            <w:vAlign w:val="center"/>
          </w:tcPr>
          <w:p w14:paraId="4E0E5E0A" w14:textId="48BC71D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0,3</w:t>
            </w:r>
          </w:p>
        </w:tc>
        <w:tc>
          <w:tcPr>
            <w:tcW w:w="992" w:type="dxa"/>
            <w:vAlign w:val="center"/>
          </w:tcPr>
          <w:p w14:paraId="183A8B77" w14:textId="42A983A1"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0,3</w:t>
            </w:r>
          </w:p>
        </w:tc>
      </w:tr>
      <w:tr w:rsidR="00B666BA" w:rsidRPr="00B56E1F" w14:paraId="0293EF53"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70282662" w14:textId="12478920" w:rsidR="00B666BA" w:rsidRPr="00B56E1F" w:rsidRDefault="00B666BA" w:rsidP="00B666BA">
            <w:pPr>
              <w:pStyle w:val="Tabelid"/>
              <w:rPr>
                <w:b w:val="0"/>
                <w:bCs/>
              </w:rPr>
            </w:pPr>
            <w:r w:rsidRPr="00B56E1F">
              <w:rPr>
                <w:b w:val="0"/>
                <w:bCs/>
              </w:rPr>
              <w:t xml:space="preserve">    Elektriaktsiis</w:t>
            </w:r>
          </w:p>
        </w:tc>
        <w:tc>
          <w:tcPr>
            <w:tcW w:w="1134" w:type="dxa"/>
            <w:vAlign w:val="center"/>
          </w:tcPr>
          <w:p w14:paraId="4F556168" w14:textId="2D1D12F7"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8,5</w:t>
            </w:r>
          </w:p>
        </w:tc>
        <w:tc>
          <w:tcPr>
            <w:tcW w:w="992" w:type="dxa"/>
            <w:vAlign w:val="center"/>
          </w:tcPr>
          <w:p w14:paraId="1986AA86" w14:textId="3125B4FE"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7,9</w:t>
            </w:r>
          </w:p>
        </w:tc>
        <w:tc>
          <w:tcPr>
            <w:tcW w:w="992" w:type="dxa"/>
            <w:vAlign w:val="center"/>
          </w:tcPr>
          <w:p w14:paraId="5E48A50E" w14:textId="3FE7ECF4"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7,6</w:t>
            </w:r>
          </w:p>
        </w:tc>
        <w:tc>
          <w:tcPr>
            <w:tcW w:w="992" w:type="dxa"/>
            <w:vAlign w:val="center"/>
          </w:tcPr>
          <w:p w14:paraId="23F0E3C7" w14:textId="4D090402"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9,8</w:t>
            </w:r>
          </w:p>
        </w:tc>
        <w:tc>
          <w:tcPr>
            <w:tcW w:w="993" w:type="dxa"/>
            <w:vAlign w:val="center"/>
          </w:tcPr>
          <w:p w14:paraId="6B5F0D07" w14:textId="04DA243A"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14,5</w:t>
            </w:r>
          </w:p>
        </w:tc>
        <w:tc>
          <w:tcPr>
            <w:tcW w:w="992" w:type="dxa"/>
            <w:vAlign w:val="center"/>
          </w:tcPr>
          <w:p w14:paraId="3883A72D" w14:textId="5842D164"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21,3</w:t>
            </w:r>
          </w:p>
        </w:tc>
        <w:tc>
          <w:tcPr>
            <w:tcW w:w="992" w:type="dxa"/>
            <w:vAlign w:val="center"/>
          </w:tcPr>
          <w:p w14:paraId="2DB136E6" w14:textId="263B5459"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31,5</w:t>
            </w:r>
          </w:p>
        </w:tc>
      </w:tr>
      <w:tr w:rsidR="00B666BA" w:rsidRPr="00B56E1F" w14:paraId="636A2D02"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050E77F" w14:textId="4FBFEB7C" w:rsidR="00B666BA" w:rsidRPr="00B56E1F" w:rsidRDefault="00B666BA" w:rsidP="00B666BA">
            <w:pPr>
              <w:pStyle w:val="Tabelid"/>
              <w:rPr>
                <w:b w:val="0"/>
                <w:bCs/>
              </w:rPr>
            </w:pPr>
            <w:r w:rsidRPr="00B56E1F">
              <w:rPr>
                <w:b w:val="0"/>
                <w:bCs/>
              </w:rPr>
              <w:t xml:space="preserve">    Muu aktsiis</w:t>
            </w:r>
          </w:p>
        </w:tc>
        <w:tc>
          <w:tcPr>
            <w:tcW w:w="1134" w:type="dxa"/>
            <w:vAlign w:val="center"/>
          </w:tcPr>
          <w:p w14:paraId="3ACDAA49" w14:textId="4ED50CC4"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0,0</w:t>
            </w:r>
          </w:p>
        </w:tc>
        <w:tc>
          <w:tcPr>
            <w:tcW w:w="992" w:type="dxa"/>
            <w:vAlign w:val="center"/>
          </w:tcPr>
          <w:p w14:paraId="7F0A975D" w14:textId="63593D82"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0,0</w:t>
            </w:r>
          </w:p>
        </w:tc>
        <w:tc>
          <w:tcPr>
            <w:tcW w:w="992" w:type="dxa"/>
            <w:vAlign w:val="center"/>
          </w:tcPr>
          <w:p w14:paraId="545DCD76" w14:textId="2AFE876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0,0</w:t>
            </w:r>
          </w:p>
        </w:tc>
        <w:tc>
          <w:tcPr>
            <w:tcW w:w="992" w:type="dxa"/>
            <w:vAlign w:val="center"/>
          </w:tcPr>
          <w:p w14:paraId="2D9FF951" w14:textId="0247A64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0,0</w:t>
            </w:r>
          </w:p>
        </w:tc>
        <w:tc>
          <w:tcPr>
            <w:tcW w:w="993" w:type="dxa"/>
            <w:vAlign w:val="center"/>
          </w:tcPr>
          <w:p w14:paraId="6D2C5CE8" w14:textId="00125212"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0,0</w:t>
            </w:r>
          </w:p>
        </w:tc>
        <w:tc>
          <w:tcPr>
            <w:tcW w:w="992" w:type="dxa"/>
            <w:vAlign w:val="center"/>
          </w:tcPr>
          <w:p w14:paraId="59F5313B" w14:textId="78F9EA9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0,0</w:t>
            </w:r>
          </w:p>
        </w:tc>
        <w:tc>
          <w:tcPr>
            <w:tcW w:w="992" w:type="dxa"/>
            <w:vAlign w:val="center"/>
          </w:tcPr>
          <w:p w14:paraId="2E6E9580" w14:textId="77629AB3"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0,0</w:t>
            </w:r>
          </w:p>
        </w:tc>
      </w:tr>
      <w:tr w:rsidR="00B666BA" w:rsidRPr="00B56E1F" w14:paraId="0AC2C9E9"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7B4D99F0" w14:textId="71FDCF4A" w:rsidR="00B666BA" w:rsidRPr="00B56E1F" w:rsidRDefault="00B666BA" w:rsidP="00B666BA">
            <w:pPr>
              <w:pStyle w:val="Tabelid"/>
              <w:rPr>
                <w:b w:val="0"/>
                <w:bCs/>
              </w:rPr>
            </w:pPr>
            <w:r w:rsidRPr="00B56E1F">
              <w:rPr>
                <w:b w:val="0"/>
                <w:bCs/>
              </w:rPr>
              <w:t>Hasartmängumaks</w:t>
            </w:r>
          </w:p>
        </w:tc>
        <w:tc>
          <w:tcPr>
            <w:tcW w:w="1134" w:type="dxa"/>
            <w:vAlign w:val="center"/>
          </w:tcPr>
          <w:p w14:paraId="6B1781D3" w14:textId="4F4CE22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33,0</w:t>
            </w:r>
          </w:p>
        </w:tc>
        <w:tc>
          <w:tcPr>
            <w:tcW w:w="992" w:type="dxa"/>
            <w:vAlign w:val="center"/>
          </w:tcPr>
          <w:p w14:paraId="7FDC5C62" w14:textId="4F6EE52A"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47,1</w:t>
            </w:r>
          </w:p>
        </w:tc>
        <w:tc>
          <w:tcPr>
            <w:tcW w:w="992" w:type="dxa"/>
            <w:vAlign w:val="center"/>
          </w:tcPr>
          <w:p w14:paraId="43D1089F" w14:textId="62189E12"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48,9</w:t>
            </w:r>
          </w:p>
        </w:tc>
        <w:tc>
          <w:tcPr>
            <w:tcW w:w="992" w:type="dxa"/>
            <w:vAlign w:val="center"/>
          </w:tcPr>
          <w:p w14:paraId="4544A0B1" w14:textId="5346BC1D"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59,1</w:t>
            </w:r>
          </w:p>
        </w:tc>
        <w:tc>
          <w:tcPr>
            <w:tcW w:w="993" w:type="dxa"/>
            <w:vAlign w:val="center"/>
          </w:tcPr>
          <w:p w14:paraId="74D57379" w14:textId="610A0D4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61,9</w:t>
            </w:r>
          </w:p>
        </w:tc>
        <w:tc>
          <w:tcPr>
            <w:tcW w:w="992" w:type="dxa"/>
            <w:vAlign w:val="center"/>
          </w:tcPr>
          <w:p w14:paraId="3BBBEC9B" w14:textId="46B75A7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69,0</w:t>
            </w:r>
          </w:p>
        </w:tc>
        <w:tc>
          <w:tcPr>
            <w:tcW w:w="992" w:type="dxa"/>
            <w:vAlign w:val="center"/>
          </w:tcPr>
          <w:p w14:paraId="3370D5B2" w14:textId="6CFDED22"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71,8</w:t>
            </w:r>
          </w:p>
        </w:tc>
      </w:tr>
      <w:tr w:rsidR="00B666BA" w:rsidRPr="00B56E1F" w14:paraId="170DF730"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6DC8A49E" w14:textId="6A9D668F" w:rsidR="00B666BA" w:rsidRPr="00B56E1F" w:rsidRDefault="00B666BA" w:rsidP="00B666BA">
            <w:pPr>
              <w:pStyle w:val="Tabelid"/>
              <w:rPr>
                <w:b w:val="0"/>
                <w:bCs/>
              </w:rPr>
            </w:pPr>
            <w:r w:rsidRPr="00B56E1F">
              <w:rPr>
                <w:b w:val="0"/>
                <w:bCs/>
              </w:rPr>
              <w:t>Tollimaks</w:t>
            </w:r>
          </w:p>
        </w:tc>
        <w:tc>
          <w:tcPr>
            <w:tcW w:w="1134" w:type="dxa"/>
            <w:vAlign w:val="center"/>
          </w:tcPr>
          <w:p w14:paraId="45602B59" w14:textId="7A6FAD5E"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62,3</w:t>
            </w:r>
          </w:p>
        </w:tc>
        <w:tc>
          <w:tcPr>
            <w:tcW w:w="992" w:type="dxa"/>
            <w:vAlign w:val="center"/>
          </w:tcPr>
          <w:p w14:paraId="156BC92E" w14:textId="1EF69461"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84,7</w:t>
            </w:r>
          </w:p>
        </w:tc>
        <w:tc>
          <w:tcPr>
            <w:tcW w:w="992" w:type="dxa"/>
            <w:vAlign w:val="center"/>
          </w:tcPr>
          <w:p w14:paraId="6311A700" w14:textId="4A4E2A8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41,6</w:t>
            </w:r>
          </w:p>
        </w:tc>
        <w:tc>
          <w:tcPr>
            <w:tcW w:w="992" w:type="dxa"/>
            <w:vAlign w:val="center"/>
          </w:tcPr>
          <w:p w14:paraId="37409B2B" w14:textId="64C817F2"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42,3</w:t>
            </w:r>
          </w:p>
        </w:tc>
        <w:tc>
          <w:tcPr>
            <w:tcW w:w="993" w:type="dxa"/>
            <w:vAlign w:val="center"/>
          </w:tcPr>
          <w:p w14:paraId="448D973D" w14:textId="4E8E9A4B"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44,0</w:t>
            </w:r>
          </w:p>
        </w:tc>
        <w:tc>
          <w:tcPr>
            <w:tcW w:w="992" w:type="dxa"/>
            <w:vAlign w:val="center"/>
          </w:tcPr>
          <w:p w14:paraId="06EFD81B" w14:textId="65363C62"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45,5</w:t>
            </w:r>
          </w:p>
        </w:tc>
        <w:tc>
          <w:tcPr>
            <w:tcW w:w="992" w:type="dxa"/>
            <w:vAlign w:val="center"/>
          </w:tcPr>
          <w:p w14:paraId="3A422839" w14:textId="516F550C"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46,8</w:t>
            </w:r>
          </w:p>
        </w:tc>
      </w:tr>
      <w:tr w:rsidR="00B666BA" w:rsidRPr="00B56E1F" w14:paraId="4596AA4E"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DD0B62C" w14:textId="10FE7098" w:rsidR="00B666BA" w:rsidRPr="00B56E1F" w:rsidRDefault="00B666BA" w:rsidP="00B666BA">
            <w:pPr>
              <w:pStyle w:val="Tabelid"/>
              <w:rPr>
                <w:b w:val="0"/>
                <w:bCs/>
              </w:rPr>
            </w:pPr>
            <w:r w:rsidRPr="00B56E1F">
              <w:rPr>
                <w:b w:val="0"/>
                <w:bCs/>
              </w:rPr>
              <w:t>Töötuskindlustusmakse</w:t>
            </w:r>
          </w:p>
        </w:tc>
        <w:tc>
          <w:tcPr>
            <w:tcW w:w="1134" w:type="dxa"/>
            <w:vAlign w:val="center"/>
          </w:tcPr>
          <w:p w14:paraId="1AE95F46" w14:textId="2BDBE2AE"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229,9</w:t>
            </w:r>
          </w:p>
        </w:tc>
        <w:tc>
          <w:tcPr>
            <w:tcW w:w="992" w:type="dxa"/>
            <w:vAlign w:val="center"/>
          </w:tcPr>
          <w:p w14:paraId="05F8B722" w14:textId="20C8A774"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261,0</w:t>
            </w:r>
          </w:p>
        </w:tc>
        <w:tc>
          <w:tcPr>
            <w:tcW w:w="992" w:type="dxa"/>
            <w:vAlign w:val="center"/>
          </w:tcPr>
          <w:p w14:paraId="31963765" w14:textId="65D84123"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292,0</w:t>
            </w:r>
          </w:p>
        </w:tc>
        <w:tc>
          <w:tcPr>
            <w:tcW w:w="992" w:type="dxa"/>
            <w:vAlign w:val="center"/>
          </w:tcPr>
          <w:p w14:paraId="6AD7DF54" w14:textId="421D6B7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313,0</w:t>
            </w:r>
          </w:p>
        </w:tc>
        <w:tc>
          <w:tcPr>
            <w:tcW w:w="993" w:type="dxa"/>
            <w:vAlign w:val="center"/>
          </w:tcPr>
          <w:p w14:paraId="769F77D9" w14:textId="575E20C6"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331,0</w:t>
            </w:r>
          </w:p>
        </w:tc>
        <w:tc>
          <w:tcPr>
            <w:tcW w:w="992" w:type="dxa"/>
            <w:vAlign w:val="center"/>
          </w:tcPr>
          <w:p w14:paraId="5EC5B40B" w14:textId="4237AD57"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348,0</w:t>
            </w:r>
          </w:p>
        </w:tc>
        <w:tc>
          <w:tcPr>
            <w:tcW w:w="992" w:type="dxa"/>
            <w:vAlign w:val="center"/>
          </w:tcPr>
          <w:p w14:paraId="6198FFB5" w14:textId="749C0A9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363,0</w:t>
            </w:r>
          </w:p>
        </w:tc>
      </w:tr>
      <w:tr w:rsidR="00B666BA" w:rsidRPr="00B56E1F" w14:paraId="3C4A35E5"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40104D39" w14:textId="7E399930" w:rsidR="00B666BA" w:rsidRPr="00B56E1F" w:rsidRDefault="00B666BA" w:rsidP="00B666BA">
            <w:pPr>
              <w:pStyle w:val="Tabelid"/>
              <w:rPr>
                <w:b w:val="0"/>
                <w:bCs/>
              </w:rPr>
            </w:pPr>
            <w:proofErr w:type="spellStart"/>
            <w:r w:rsidRPr="00B56E1F">
              <w:rPr>
                <w:b w:val="0"/>
                <w:bCs/>
              </w:rPr>
              <w:t>Kogumispensionimakse</w:t>
            </w:r>
            <w:proofErr w:type="spellEnd"/>
          </w:p>
        </w:tc>
        <w:tc>
          <w:tcPr>
            <w:tcW w:w="1134" w:type="dxa"/>
            <w:vAlign w:val="center"/>
          </w:tcPr>
          <w:p w14:paraId="4C6F6A35" w14:textId="2423F50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180,1</w:t>
            </w:r>
          </w:p>
        </w:tc>
        <w:tc>
          <w:tcPr>
            <w:tcW w:w="992" w:type="dxa"/>
            <w:vAlign w:val="center"/>
          </w:tcPr>
          <w:p w14:paraId="694A5FAC" w14:textId="0B69FB77"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162,4</w:t>
            </w:r>
          </w:p>
        </w:tc>
        <w:tc>
          <w:tcPr>
            <w:tcW w:w="992" w:type="dxa"/>
            <w:vAlign w:val="center"/>
          </w:tcPr>
          <w:p w14:paraId="65454351" w14:textId="78B7B81E"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175,0</w:t>
            </w:r>
          </w:p>
        </w:tc>
        <w:tc>
          <w:tcPr>
            <w:tcW w:w="992" w:type="dxa"/>
            <w:vAlign w:val="center"/>
          </w:tcPr>
          <w:p w14:paraId="2D34619A" w14:textId="3D1549EA"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186,0</w:t>
            </w:r>
          </w:p>
        </w:tc>
        <w:tc>
          <w:tcPr>
            <w:tcW w:w="993" w:type="dxa"/>
            <w:vAlign w:val="center"/>
          </w:tcPr>
          <w:p w14:paraId="4D912F5B" w14:textId="3D9EB5FA"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193,0</w:t>
            </w:r>
          </w:p>
        </w:tc>
        <w:tc>
          <w:tcPr>
            <w:tcW w:w="992" w:type="dxa"/>
            <w:vAlign w:val="center"/>
          </w:tcPr>
          <w:p w14:paraId="55D28ACD" w14:textId="0B372155"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200,0</w:t>
            </w:r>
          </w:p>
        </w:tc>
        <w:tc>
          <w:tcPr>
            <w:tcW w:w="992" w:type="dxa"/>
            <w:vAlign w:val="center"/>
          </w:tcPr>
          <w:p w14:paraId="0923C506" w14:textId="58AFA3F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207,0</w:t>
            </w:r>
          </w:p>
        </w:tc>
      </w:tr>
      <w:tr w:rsidR="00B666BA" w:rsidRPr="00B56E1F" w14:paraId="6F97DF96" w14:textId="77777777" w:rsidTr="00A07249">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6026D4F" w14:textId="2308DD73" w:rsidR="00B666BA" w:rsidRPr="00B56E1F" w:rsidRDefault="00B666BA" w:rsidP="00B666BA">
            <w:pPr>
              <w:pStyle w:val="Tabelid"/>
              <w:rPr>
                <w:b w:val="0"/>
                <w:bCs/>
              </w:rPr>
            </w:pPr>
            <w:r w:rsidRPr="00B56E1F">
              <w:rPr>
                <w:b w:val="0"/>
                <w:bCs/>
              </w:rPr>
              <w:t>Maamaks</w:t>
            </w:r>
          </w:p>
        </w:tc>
        <w:tc>
          <w:tcPr>
            <w:tcW w:w="1134" w:type="dxa"/>
            <w:vAlign w:val="center"/>
          </w:tcPr>
          <w:p w14:paraId="26281E62" w14:textId="5B77938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59,3</w:t>
            </w:r>
          </w:p>
        </w:tc>
        <w:tc>
          <w:tcPr>
            <w:tcW w:w="992" w:type="dxa"/>
            <w:vAlign w:val="center"/>
          </w:tcPr>
          <w:p w14:paraId="6C224F4B" w14:textId="7EC31257"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59,0</w:t>
            </w:r>
          </w:p>
        </w:tc>
        <w:tc>
          <w:tcPr>
            <w:tcW w:w="992" w:type="dxa"/>
            <w:vAlign w:val="center"/>
          </w:tcPr>
          <w:p w14:paraId="7B48EB33" w14:textId="492E0C2C"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59,0</w:t>
            </w:r>
          </w:p>
        </w:tc>
        <w:tc>
          <w:tcPr>
            <w:tcW w:w="992" w:type="dxa"/>
            <w:vAlign w:val="center"/>
          </w:tcPr>
          <w:p w14:paraId="37740694" w14:textId="3BF1CA3B"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58,0</w:t>
            </w:r>
          </w:p>
        </w:tc>
        <w:tc>
          <w:tcPr>
            <w:tcW w:w="993" w:type="dxa"/>
            <w:vAlign w:val="center"/>
          </w:tcPr>
          <w:p w14:paraId="792D29C3" w14:textId="71B9E74D"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62,4</w:t>
            </w:r>
          </w:p>
        </w:tc>
        <w:tc>
          <w:tcPr>
            <w:tcW w:w="992" w:type="dxa"/>
            <w:vAlign w:val="center"/>
          </w:tcPr>
          <w:p w14:paraId="54A8216A" w14:textId="76D0A0F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67,0</w:t>
            </w:r>
          </w:p>
        </w:tc>
        <w:tc>
          <w:tcPr>
            <w:tcW w:w="992" w:type="dxa"/>
            <w:vAlign w:val="center"/>
          </w:tcPr>
          <w:p w14:paraId="5116B7D9" w14:textId="45D07267"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72,1</w:t>
            </w:r>
          </w:p>
        </w:tc>
      </w:tr>
      <w:tr w:rsidR="00B666BA" w:rsidRPr="00B56E1F" w14:paraId="1E62248C" w14:textId="77777777" w:rsidTr="00A07249">
        <w:trPr>
          <w:trHeight w:val="412"/>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306982F1" w14:textId="7CC63A96" w:rsidR="00B666BA" w:rsidRPr="00B56E1F" w:rsidRDefault="00B666BA" w:rsidP="00B666BA">
            <w:pPr>
              <w:pStyle w:val="Tabelid"/>
              <w:rPr>
                <w:b w:val="0"/>
              </w:rPr>
            </w:pPr>
            <w:r w:rsidRPr="00B56E1F">
              <w:t>Mittemaksulised tulud</w:t>
            </w:r>
          </w:p>
        </w:tc>
        <w:tc>
          <w:tcPr>
            <w:tcW w:w="1134" w:type="dxa"/>
            <w:vAlign w:val="center"/>
          </w:tcPr>
          <w:p w14:paraId="5AD11E5B" w14:textId="6A545928"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1 543,8</w:t>
            </w:r>
          </w:p>
        </w:tc>
        <w:tc>
          <w:tcPr>
            <w:tcW w:w="992" w:type="dxa"/>
            <w:vAlign w:val="center"/>
          </w:tcPr>
          <w:p w14:paraId="23867BDA" w14:textId="6673C15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1 996,2</w:t>
            </w:r>
          </w:p>
        </w:tc>
        <w:tc>
          <w:tcPr>
            <w:tcW w:w="992" w:type="dxa"/>
            <w:vAlign w:val="center"/>
          </w:tcPr>
          <w:p w14:paraId="794A1828" w14:textId="53F86F94"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2 355,6</w:t>
            </w:r>
          </w:p>
        </w:tc>
        <w:tc>
          <w:tcPr>
            <w:tcW w:w="992" w:type="dxa"/>
            <w:vAlign w:val="center"/>
          </w:tcPr>
          <w:p w14:paraId="2A8DBF0D" w14:textId="55CC93BF"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2 473,5</w:t>
            </w:r>
          </w:p>
        </w:tc>
        <w:tc>
          <w:tcPr>
            <w:tcW w:w="993" w:type="dxa"/>
            <w:vAlign w:val="center"/>
          </w:tcPr>
          <w:p w14:paraId="1AE72DC4" w14:textId="351D58EA"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2 447,3</w:t>
            </w:r>
          </w:p>
        </w:tc>
        <w:tc>
          <w:tcPr>
            <w:tcW w:w="992" w:type="dxa"/>
            <w:vAlign w:val="center"/>
          </w:tcPr>
          <w:p w14:paraId="31D37C17" w14:textId="1D50BC25"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2 383,6</w:t>
            </w:r>
          </w:p>
        </w:tc>
        <w:tc>
          <w:tcPr>
            <w:tcW w:w="992" w:type="dxa"/>
            <w:vAlign w:val="center"/>
          </w:tcPr>
          <w:p w14:paraId="194C4790" w14:textId="0CF9FF98"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1 853,2</w:t>
            </w:r>
          </w:p>
        </w:tc>
      </w:tr>
      <w:tr w:rsidR="00B666BA" w:rsidRPr="00B56E1F" w14:paraId="51D69DDA"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3620E268" w14:textId="23A7CC2F" w:rsidR="00B666BA" w:rsidRPr="00B56E1F" w:rsidRDefault="00B666BA" w:rsidP="00B666BA">
            <w:pPr>
              <w:pStyle w:val="Tabelid"/>
              <w:rPr>
                <w:b w:val="0"/>
                <w:bCs/>
              </w:rPr>
            </w:pPr>
            <w:r w:rsidRPr="00B56E1F">
              <w:rPr>
                <w:b w:val="0"/>
                <w:bCs/>
              </w:rPr>
              <w:t>Saadud toetused</w:t>
            </w:r>
          </w:p>
        </w:tc>
        <w:tc>
          <w:tcPr>
            <w:tcW w:w="1134" w:type="dxa"/>
            <w:vAlign w:val="center"/>
          </w:tcPr>
          <w:p w14:paraId="269A7790" w14:textId="3D17CE52"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952,7</w:t>
            </w:r>
          </w:p>
        </w:tc>
        <w:tc>
          <w:tcPr>
            <w:tcW w:w="992" w:type="dxa"/>
            <w:vAlign w:val="center"/>
          </w:tcPr>
          <w:p w14:paraId="0EE9A99B" w14:textId="6A08F52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1 074,9</w:t>
            </w:r>
          </w:p>
        </w:tc>
        <w:tc>
          <w:tcPr>
            <w:tcW w:w="992" w:type="dxa"/>
            <w:vAlign w:val="center"/>
          </w:tcPr>
          <w:p w14:paraId="351C4E11" w14:textId="3B530DD9"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1 384,5</w:t>
            </w:r>
          </w:p>
        </w:tc>
        <w:tc>
          <w:tcPr>
            <w:tcW w:w="992" w:type="dxa"/>
            <w:vAlign w:val="center"/>
          </w:tcPr>
          <w:p w14:paraId="19EBA2D7" w14:textId="4BC91129"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1 537,6</w:t>
            </w:r>
          </w:p>
        </w:tc>
        <w:tc>
          <w:tcPr>
            <w:tcW w:w="993" w:type="dxa"/>
            <w:vAlign w:val="center"/>
          </w:tcPr>
          <w:p w14:paraId="7FD2E293" w14:textId="63B022A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1 640,5</w:t>
            </w:r>
          </w:p>
        </w:tc>
        <w:tc>
          <w:tcPr>
            <w:tcW w:w="992" w:type="dxa"/>
            <w:vAlign w:val="center"/>
          </w:tcPr>
          <w:p w14:paraId="584B24C0" w14:textId="4D68ED17"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1 507,2</w:t>
            </w:r>
          </w:p>
        </w:tc>
        <w:tc>
          <w:tcPr>
            <w:tcW w:w="992" w:type="dxa"/>
            <w:vAlign w:val="center"/>
          </w:tcPr>
          <w:p w14:paraId="55CDC39F" w14:textId="6F49625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942,6</w:t>
            </w:r>
          </w:p>
        </w:tc>
      </w:tr>
      <w:tr w:rsidR="00B666BA" w:rsidRPr="00B56E1F" w14:paraId="270EB016"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31728E09" w14:textId="75582B96" w:rsidR="00B666BA" w:rsidRPr="00B56E1F" w:rsidRDefault="00B666BA" w:rsidP="00B666BA">
            <w:pPr>
              <w:pStyle w:val="Tabelid"/>
              <w:rPr>
                <w:b w:val="0"/>
                <w:bCs/>
              </w:rPr>
            </w:pPr>
            <w:r w:rsidRPr="00B56E1F">
              <w:rPr>
                <w:b w:val="0"/>
                <w:bCs/>
              </w:rPr>
              <w:t>Riigilõivud</w:t>
            </w:r>
          </w:p>
        </w:tc>
        <w:tc>
          <w:tcPr>
            <w:tcW w:w="1134" w:type="dxa"/>
            <w:vAlign w:val="center"/>
          </w:tcPr>
          <w:p w14:paraId="12BFC0F2" w14:textId="529A3581"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89,1</w:t>
            </w:r>
          </w:p>
        </w:tc>
        <w:tc>
          <w:tcPr>
            <w:tcW w:w="992" w:type="dxa"/>
            <w:vAlign w:val="center"/>
          </w:tcPr>
          <w:p w14:paraId="6159B6F0" w14:textId="7CC153F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91,7</w:t>
            </w:r>
          </w:p>
        </w:tc>
        <w:tc>
          <w:tcPr>
            <w:tcW w:w="992" w:type="dxa"/>
            <w:vAlign w:val="center"/>
          </w:tcPr>
          <w:p w14:paraId="49CC09C7" w14:textId="0D1F858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86,6</w:t>
            </w:r>
          </w:p>
        </w:tc>
        <w:tc>
          <w:tcPr>
            <w:tcW w:w="992" w:type="dxa"/>
            <w:vAlign w:val="center"/>
          </w:tcPr>
          <w:p w14:paraId="339FE30C" w14:textId="47B50E6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89,4</w:t>
            </w:r>
          </w:p>
        </w:tc>
        <w:tc>
          <w:tcPr>
            <w:tcW w:w="993" w:type="dxa"/>
            <w:vAlign w:val="center"/>
          </w:tcPr>
          <w:p w14:paraId="17D60F57" w14:textId="0ED9F95F"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87,6</w:t>
            </w:r>
          </w:p>
        </w:tc>
        <w:tc>
          <w:tcPr>
            <w:tcW w:w="992" w:type="dxa"/>
            <w:vAlign w:val="center"/>
          </w:tcPr>
          <w:p w14:paraId="0A173721" w14:textId="51636497"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89,4</w:t>
            </w:r>
          </w:p>
        </w:tc>
        <w:tc>
          <w:tcPr>
            <w:tcW w:w="992" w:type="dxa"/>
            <w:vAlign w:val="center"/>
          </w:tcPr>
          <w:p w14:paraId="37AA9B25" w14:textId="1E327DC7"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93,4</w:t>
            </w:r>
          </w:p>
        </w:tc>
      </w:tr>
      <w:tr w:rsidR="00B666BA" w:rsidRPr="00B56E1F" w14:paraId="1B6F215E" w14:textId="77777777" w:rsidTr="00A0724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79860711" w14:textId="16FEE8B1" w:rsidR="00B666BA" w:rsidRPr="00B56E1F" w:rsidRDefault="00B666BA" w:rsidP="00B666BA">
            <w:pPr>
              <w:pStyle w:val="Tabelid"/>
              <w:rPr>
                <w:b w:val="0"/>
                <w:bCs/>
              </w:rPr>
            </w:pPr>
            <w:r w:rsidRPr="00B56E1F">
              <w:rPr>
                <w:b w:val="0"/>
                <w:bCs/>
              </w:rPr>
              <w:t>Tulu majandustegevusest</w:t>
            </w:r>
          </w:p>
        </w:tc>
        <w:tc>
          <w:tcPr>
            <w:tcW w:w="1134" w:type="dxa"/>
            <w:vAlign w:val="center"/>
          </w:tcPr>
          <w:p w14:paraId="25CA1788" w14:textId="0D105626"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206,0</w:t>
            </w:r>
          </w:p>
        </w:tc>
        <w:tc>
          <w:tcPr>
            <w:tcW w:w="992" w:type="dxa"/>
            <w:vAlign w:val="center"/>
          </w:tcPr>
          <w:p w14:paraId="54F575BA" w14:textId="286343D4"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337,2</w:t>
            </w:r>
          </w:p>
        </w:tc>
        <w:tc>
          <w:tcPr>
            <w:tcW w:w="992" w:type="dxa"/>
            <w:vAlign w:val="center"/>
          </w:tcPr>
          <w:p w14:paraId="67B238AF" w14:textId="12860388"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422,6</w:t>
            </w:r>
          </w:p>
        </w:tc>
        <w:tc>
          <w:tcPr>
            <w:tcW w:w="992" w:type="dxa"/>
            <w:vAlign w:val="center"/>
          </w:tcPr>
          <w:p w14:paraId="3B3582CB" w14:textId="178366D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442,9</w:t>
            </w:r>
          </w:p>
        </w:tc>
        <w:tc>
          <w:tcPr>
            <w:tcW w:w="993" w:type="dxa"/>
            <w:vAlign w:val="center"/>
          </w:tcPr>
          <w:p w14:paraId="0EE76AD5" w14:textId="131521D4"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343,8</w:t>
            </w:r>
          </w:p>
        </w:tc>
        <w:tc>
          <w:tcPr>
            <w:tcW w:w="992" w:type="dxa"/>
            <w:vAlign w:val="center"/>
          </w:tcPr>
          <w:p w14:paraId="5EFA32FC" w14:textId="4A24BC43"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337,0</w:t>
            </w:r>
          </w:p>
        </w:tc>
        <w:tc>
          <w:tcPr>
            <w:tcW w:w="992" w:type="dxa"/>
            <w:vAlign w:val="center"/>
          </w:tcPr>
          <w:p w14:paraId="3F82E3EF" w14:textId="714D8CFA"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360,6</w:t>
            </w:r>
          </w:p>
        </w:tc>
      </w:tr>
      <w:tr w:rsidR="00B666BA" w:rsidRPr="00B56E1F" w14:paraId="0BBD82C9"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115FC8F3" w14:textId="3E2CC44E" w:rsidR="00B666BA" w:rsidRPr="00B56E1F" w:rsidRDefault="00B666BA" w:rsidP="00B666BA">
            <w:pPr>
              <w:pStyle w:val="Tabelid"/>
              <w:rPr>
                <w:b w:val="0"/>
                <w:bCs/>
              </w:rPr>
            </w:pPr>
            <w:r w:rsidRPr="00B56E1F">
              <w:rPr>
                <w:b w:val="0"/>
                <w:bCs/>
              </w:rPr>
              <w:t>Tulu põhivara ja varude müügist</w:t>
            </w:r>
          </w:p>
        </w:tc>
        <w:tc>
          <w:tcPr>
            <w:tcW w:w="1134" w:type="dxa"/>
            <w:vAlign w:val="center"/>
          </w:tcPr>
          <w:p w14:paraId="22ACD5CA" w14:textId="213E021B"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34,5</w:t>
            </w:r>
          </w:p>
        </w:tc>
        <w:tc>
          <w:tcPr>
            <w:tcW w:w="992" w:type="dxa"/>
            <w:vAlign w:val="center"/>
          </w:tcPr>
          <w:p w14:paraId="5B92731C" w14:textId="4DECBD74"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55,2</w:t>
            </w:r>
          </w:p>
        </w:tc>
        <w:tc>
          <w:tcPr>
            <w:tcW w:w="992" w:type="dxa"/>
            <w:vAlign w:val="center"/>
          </w:tcPr>
          <w:p w14:paraId="1C56D303" w14:textId="6EDCFA6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34,5</w:t>
            </w:r>
          </w:p>
        </w:tc>
        <w:tc>
          <w:tcPr>
            <w:tcW w:w="992" w:type="dxa"/>
            <w:vAlign w:val="center"/>
          </w:tcPr>
          <w:p w14:paraId="49E9EBC3" w14:textId="3720DC1E"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48,5</w:t>
            </w:r>
          </w:p>
        </w:tc>
        <w:tc>
          <w:tcPr>
            <w:tcW w:w="993" w:type="dxa"/>
            <w:vAlign w:val="center"/>
          </w:tcPr>
          <w:p w14:paraId="2E06713B" w14:textId="3442E6E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22,6</w:t>
            </w:r>
          </w:p>
        </w:tc>
        <w:tc>
          <w:tcPr>
            <w:tcW w:w="992" w:type="dxa"/>
            <w:vAlign w:val="center"/>
          </w:tcPr>
          <w:p w14:paraId="4832B2A9" w14:textId="62349DAB"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22,6</w:t>
            </w:r>
          </w:p>
        </w:tc>
        <w:tc>
          <w:tcPr>
            <w:tcW w:w="992" w:type="dxa"/>
            <w:vAlign w:val="center"/>
          </w:tcPr>
          <w:p w14:paraId="5BFCC925" w14:textId="445FA8C8"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19,6</w:t>
            </w:r>
          </w:p>
        </w:tc>
      </w:tr>
      <w:tr w:rsidR="00B666BA" w:rsidRPr="00B56E1F" w14:paraId="12A89A3D" w14:textId="77777777" w:rsidTr="00A07249">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004F138B" w14:textId="5BB37D4D" w:rsidR="00B666BA" w:rsidRPr="00B56E1F" w:rsidRDefault="00B666BA" w:rsidP="00B666BA">
            <w:pPr>
              <w:pStyle w:val="Tabelid"/>
              <w:rPr>
                <w:b w:val="0"/>
                <w:bCs/>
              </w:rPr>
            </w:pPr>
            <w:r w:rsidRPr="00B56E1F">
              <w:rPr>
                <w:b w:val="0"/>
                <w:bCs/>
              </w:rPr>
              <w:t>Trahvid ja muud varalised karistused</w:t>
            </w:r>
          </w:p>
        </w:tc>
        <w:tc>
          <w:tcPr>
            <w:tcW w:w="1134" w:type="dxa"/>
            <w:vAlign w:val="center"/>
          </w:tcPr>
          <w:p w14:paraId="74AD69A6" w14:textId="79AF9AC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17,3</w:t>
            </w:r>
          </w:p>
        </w:tc>
        <w:tc>
          <w:tcPr>
            <w:tcW w:w="992" w:type="dxa"/>
            <w:vAlign w:val="center"/>
          </w:tcPr>
          <w:p w14:paraId="3BBB0150" w14:textId="153F60A3"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22,9</w:t>
            </w:r>
          </w:p>
        </w:tc>
        <w:tc>
          <w:tcPr>
            <w:tcW w:w="992" w:type="dxa"/>
            <w:vAlign w:val="center"/>
          </w:tcPr>
          <w:p w14:paraId="102E339B" w14:textId="15AF9953"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23,0</w:t>
            </w:r>
          </w:p>
        </w:tc>
        <w:tc>
          <w:tcPr>
            <w:tcW w:w="992" w:type="dxa"/>
            <w:vAlign w:val="center"/>
          </w:tcPr>
          <w:p w14:paraId="577E771B" w14:textId="0357C71E"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21,3</w:t>
            </w:r>
          </w:p>
        </w:tc>
        <w:tc>
          <w:tcPr>
            <w:tcW w:w="993" w:type="dxa"/>
            <w:vAlign w:val="center"/>
          </w:tcPr>
          <w:p w14:paraId="29AC30AF" w14:textId="63E785B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21,3</w:t>
            </w:r>
          </w:p>
        </w:tc>
        <w:tc>
          <w:tcPr>
            <w:tcW w:w="992" w:type="dxa"/>
            <w:vAlign w:val="center"/>
          </w:tcPr>
          <w:p w14:paraId="4DD4764D" w14:textId="6DF0F1B3"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21,3</w:t>
            </w:r>
          </w:p>
        </w:tc>
        <w:tc>
          <w:tcPr>
            <w:tcW w:w="992" w:type="dxa"/>
            <w:vAlign w:val="center"/>
          </w:tcPr>
          <w:p w14:paraId="6ACB41CF" w14:textId="619E0FC6"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21,3</w:t>
            </w:r>
          </w:p>
        </w:tc>
      </w:tr>
      <w:tr w:rsidR="00B666BA" w:rsidRPr="00B56E1F" w14:paraId="0DB384C0" w14:textId="77777777" w:rsidTr="00A07249">
        <w:trPr>
          <w:trHeight w:val="427"/>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6931C956" w14:textId="67D6F4B7" w:rsidR="00B666BA" w:rsidRPr="00B56E1F" w:rsidRDefault="00B666BA" w:rsidP="00B666BA">
            <w:pPr>
              <w:pStyle w:val="Tabelid"/>
              <w:rPr>
                <w:b w:val="0"/>
                <w:bCs/>
              </w:rPr>
            </w:pPr>
            <w:r w:rsidRPr="00B56E1F">
              <w:rPr>
                <w:b w:val="0"/>
                <w:bCs/>
              </w:rPr>
              <w:t>Keskkonnatasud</w:t>
            </w:r>
          </w:p>
        </w:tc>
        <w:tc>
          <w:tcPr>
            <w:tcW w:w="1134" w:type="dxa"/>
            <w:vAlign w:val="center"/>
          </w:tcPr>
          <w:p w14:paraId="3605C468" w14:textId="5125882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120,0</w:t>
            </w:r>
          </w:p>
        </w:tc>
        <w:tc>
          <w:tcPr>
            <w:tcW w:w="992" w:type="dxa"/>
            <w:vAlign w:val="center"/>
          </w:tcPr>
          <w:p w14:paraId="164C8D4B" w14:textId="735B3A9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198,8</w:t>
            </w:r>
          </w:p>
        </w:tc>
        <w:tc>
          <w:tcPr>
            <w:tcW w:w="992" w:type="dxa"/>
            <w:vAlign w:val="center"/>
          </w:tcPr>
          <w:p w14:paraId="11D542FA" w14:textId="7C744F62"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150,2</w:t>
            </w:r>
          </w:p>
        </w:tc>
        <w:tc>
          <w:tcPr>
            <w:tcW w:w="992" w:type="dxa"/>
            <w:vAlign w:val="center"/>
          </w:tcPr>
          <w:p w14:paraId="3D77244C" w14:textId="182F5B45"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145,5</w:t>
            </w:r>
          </w:p>
        </w:tc>
        <w:tc>
          <w:tcPr>
            <w:tcW w:w="993" w:type="dxa"/>
            <w:vAlign w:val="center"/>
          </w:tcPr>
          <w:p w14:paraId="1EB84949" w14:textId="399E358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147,2</w:t>
            </w:r>
          </w:p>
        </w:tc>
        <w:tc>
          <w:tcPr>
            <w:tcW w:w="992" w:type="dxa"/>
            <w:vAlign w:val="center"/>
          </w:tcPr>
          <w:p w14:paraId="1EE0288C" w14:textId="7E765E30"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142,2</w:t>
            </w:r>
          </w:p>
        </w:tc>
        <w:tc>
          <w:tcPr>
            <w:tcW w:w="992" w:type="dxa"/>
            <w:vAlign w:val="center"/>
          </w:tcPr>
          <w:p w14:paraId="18805116" w14:textId="40030CBE"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139,2</w:t>
            </w:r>
          </w:p>
        </w:tc>
      </w:tr>
      <w:tr w:rsidR="00B666BA" w:rsidRPr="00B56E1F" w14:paraId="0E657CE1" w14:textId="77777777" w:rsidTr="00A0724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3AF85F5D" w14:textId="1B1A60F7" w:rsidR="00B666BA" w:rsidRPr="00B56E1F" w:rsidRDefault="00B666BA" w:rsidP="00B666BA">
            <w:pPr>
              <w:pStyle w:val="Tabelid"/>
              <w:rPr>
                <w:b w:val="0"/>
                <w:bCs/>
              </w:rPr>
            </w:pPr>
            <w:r w:rsidRPr="00B56E1F">
              <w:rPr>
                <w:b w:val="0"/>
                <w:bCs/>
              </w:rPr>
              <w:t>Muud tegevustulud</w:t>
            </w:r>
          </w:p>
        </w:tc>
        <w:tc>
          <w:tcPr>
            <w:tcW w:w="1134" w:type="dxa"/>
            <w:vAlign w:val="center"/>
          </w:tcPr>
          <w:p w14:paraId="656F53AA" w14:textId="0EA3683B"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13,3</w:t>
            </w:r>
          </w:p>
        </w:tc>
        <w:tc>
          <w:tcPr>
            <w:tcW w:w="992" w:type="dxa"/>
            <w:vAlign w:val="center"/>
          </w:tcPr>
          <w:p w14:paraId="7AE99BA3" w14:textId="6131482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14,0</w:t>
            </w:r>
          </w:p>
        </w:tc>
        <w:tc>
          <w:tcPr>
            <w:tcW w:w="992" w:type="dxa"/>
            <w:vAlign w:val="center"/>
          </w:tcPr>
          <w:p w14:paraId="6F04B838" w14:textId="4EDEE16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22,0</w:t>
            </w:r>
          </w:p>
        </w:tc>
        <w:tc>
          <w:tcPr>
            <w:tcW w:w="992" w:type="dxa"/>
            <w:vAlign w:val="center"/>
          </w:tcPr>
          <w:p w14:paraId="231C2DDD" w14:textId="7536B7E9"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12,4</w:t>
            </w:r>
          </w:p>
        </w:tc>
        <w:tc>
          <w:tcPr>
            <w:tcW w:w="993" w:type="dxa"/>
            <w:vAlign w:val="center"/>
          </w:tcPr>
          <w:p w14:paraId="0B1831F5" w14:textId="0BDB44C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12,5</w:t>
            </w:r>
          </w:p>
        </w:tc>
        <w:tc>
          <w:tcPr>
            <w:tcW w:w="992" w:type="dxa"/>
            <w:vAlign w:val="center"/>
          </w:tcPr>
          <w:p w14:paraId="3A414019" w14:textId="16381700"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12,5</w:t>
            </w:r>
          </w:p>
        </w:tc>
        <w:tc>
          <w:tcPr>
            <w:tcW w:w="992" w:type="dxa"/>
            <w:vAlign w:val="center"/>
          </w:tcPr>
          <w:p w14:paraId="7444CC7B" w14:textId="57195B8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pPr>
            <w:r w:rsidRPr="00B56E1F">
              <w:t>12,5</w:t>
            </w:r>
          </w:p>
        </w:tc>
      </w:tr>
      <w:tr w:rsidR="00B666BA" w:rsidRPr="00B56E1F" w14:paraId="7EE8E0D0" w14:textId="77777777" w:rsidTr="00A07249">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66747052" w14:textId="782811B9" w:rsidR="00B666BA" w:rsidRPr="00B56E1F" w:rsidRDefault="00B666BA" w:rsidP="00B666BA">
            <w:pPr>
              <w:pStyle w:val="Tabelid"/>
              <w:rPr>
                <w:b w:val="0"/>
                <w:bCs/>
              </w:rPr>
            </w:pPr>
            <w:r w:rsidRPr="00B56E1F">
              <w:rPr>
                <w:b w:val="0"/>
                <w:bCs/>
              </w:rPr>
              <w:t>Intressi- ja omanikutulud</w:t>
            </w:r>
          </w:p>
        </w:tc>
        <w:tc>
          <w:tcPr>
            <w:tcW w:w="1134" w:type="dxa"/>
            <w:vAlign w:val="center"/>
          </w:tcPr>
          <w:p w14:paraId="1C05D68E" w14:textId="0D575F7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110,8</w:t>
            </w:r>
          </w:p>
        </w:tc>
        <w:tc>
          <w:tcPr>
            <w:tcW w:w="992" w:type="dxa"/>
            <w:vAlign w:val="center"/>
          </w:tcPr>
          <w:p w14:paraId="2704B41E" w14:textId="7B349F6E"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201,4</w:t>
            </w:r>
          </w:p>
        </w:tc>
        <w:tc>
          <w:tcPr>
            <w:tcW w:w="992" w:type="dxa"/>
            <w:vAlign w:val="center"/>
          </w:tcPr>
          <w:p w14:paraId="7A7EB504" w14:textId="0A864FC9"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232,2</w:t>
            </w:r>
          </w:p>
        </w:tc>
        <w:tc>
          <w:tcPr>
            <w:tcW w:w="992" w:type="dxa"/>
            <w:vAlign w:val="center"/>
          </w:tcPr>
          <w:p w14:paraId="69F35DA6" w14:textId="33367893"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175,9</w:t>
            </w:r>
          </w:p>
        </w:tc>
        <w:tc>
          <w:tcPr>
            <w:tcW w:w="993" w:type="dxa"/>
            <w:vAlign w:val="center"/>
          </w:tcPr>
          <w:p w14:paraId="385CAB9B" w14:textId="179B3BAC"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171,7</w:t>
            </w:r>
          </w:p>
        </w:tc>
        <w:tc>
          <w:tcPr>
            <w:tcW w:w="992" w:type="dxa"/>
            <w:vAlign w:val="center"/>
          </w:tcPr>
          <w:p w14:paraId="56302E47" w14:textId="5A88A963"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251,5</w:t>
            </w:r>
          </w:p>
        </w:tc>
        <w:tc>
          <w:tcPr>
            <w:tcW w:w="992" w:type="dxa"/>
            <w:vAlign w:val="center"/>
          </w:tcPr>
          <w:p w14:paraId="116C32E3" w14:textId="21AA8FFC"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pPr>
            <w:r w:rsidRPr="00B56E1F">
              <w:t>264,0</w:t>
            </w:r>
          </w:p>
        </w:tc>
      </w:tr>
      <w:tr w:rsidR="00B666BA" w:rsidRPr="00B56E1F" w14:paraId="70457124" w14:textId="77777777" w:rsidTr="001839F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47058E2A" w14:textId="1DB788B6" w:rsidR="00B666BA" w:rsidRPr="00B56E1F" w:rsidRDefault="00B666BA" w:rsidP="00B666BA">
            <w:pPr>
              <w:pStyle w:val="Tabelid"/>
              <w:rPr>
                <w:bCs/>
              </w:rPr>
            </w:pPr>
            <w:r w:rsidRPr="00B56E1F">
              <w:t>Tulud kokku</w:t>
            </w:r>
          </w:p>
        </w:tc>
        <w:tc>
          <w:tcPr>
            <w:tcW w:w="1134" w:type="dxa"/>
            <w:vAlign w:val="center"/>
          </w:tcPr>
          <w:p w14:paraId="3B2BABD0" w14:textId="06DA8AB9"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12 331,6</w:t>
            </w:r>
          </w:p>
        </w:tc>
        <w:tc>
          <w:tcPr>
            <w:tcW w:w="992" w:type="dxa"/>
            <w:vAlign w:val="bottom"/>
          </w:tcPr>
          <w:p w14:paraId="156B1A24" w14:textId="2AC0A571"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13 944,7</w:t>
            </w:r>
          </w:p>
        </w:tc>
        <w:tc>
          <w:tcPr>
            <w:tcW w:w="992" w:type="dxa"/>
            <w:vAlign w:val="center"/>
          </w:tcPr>
          <w:p w14:paraId="48D686CF" w14:textId="4625189D"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15 313,0</w:t>
            </w:r>
          </w:p>
        </w:tc>
        <w:tc>
          <w:tcPr>
            <w:tcW w:w="992" w:type="dxa"/>
            <w:vAlign w:val="center"/>
          </w:tcPr>
          <w:p w14:paraId="68FE81B9" w14:textId="3AE4C1E7"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16 397,9</w:t>
            </w:r>
          </w:p>
        </w:tc>
        <w:tc>
          <w:tcPr>
            <w:tcW w:w="993" w:type="dxa"/>
            <w:vAlign w:val="center"/>
          </w:tcPr>
          <w:p w14:paraId="06C37DD6" w14:textId="24561D3B"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16 776,2</w:t>
            </w:r>
          </w:p>
        </w:tc>
        <w:tc>
          <w:tcPr>
            <w:tcW w:w="992" w:type="dxa"/>
            <w:vAlign w:val="center"/>
          </w:tcPr>
          <w:p w14:paraId="14BF363D" w14:textId="65648235"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17 614,5</w:t>
            </w:r>
          </w:p>
        </w:tc>
        <w:tc>
          <w:tcPr>
            <w:tcW w:w="992" w:type="dxa"/>
            <w:vAlign w:val="center"/>
          </w:tcPr>
          <w:p w14:paraId="06907E2E" w14:textId="5872DB0F" w:rsidR="00B666BA" w:rsidRPr="00B56E1F" w:rsidRDefault="00B666BA" w:rsidP="00B56E1F">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B56E1F">
              <w:rPr>
                <w:b/>
                <w:bCs/>
              </w:rPr>
              <w:t>17 706,5</w:t>
            </w:r>
          </w:p>
        </w:tc>
      </w:tr>
      <w:tr w:rsidR="00B666BA" w:rsidRPr="00414819" w14:paraId="4B429351" w14:textId="77777777" w:rsidTr="001839FD">
        <w:trPr>
          <w:trHeight w:val="290"/>
        </w:trPr>
        <w:tc>
          <w:tcPr>
            <w:cnfStyle w:val="001000000000" w:firstRow="0" w:lastRow="0" w:firstColumn="1" w:lastColumn="0" w:oddVBand="0" w:evenVBand="0" w:oddHBand="0" w:evenHBand="0" w:firstRowFirstColumn="0" w:firstRowLastColumn="0" w:lastRowFirstColumn="0" w:lastRowLastColumn="0"/>
            <w:tcW w:w="3261" w:type="dxa"/>
            <w:vAlign w:val="center"/>
            <w:hideMark/>
          </w:tcPr>
          <w:p w14:paraId="33126864" w14:textId="6C24D327" w:rsidR="00B666BA" w:rsidRPr="00B56E1F" w:rsidRDefault="00B666BA" w:rsidP="00B666BA">
            <w:pPr>
              <w:pStyle w:val="Tabelid"/>
              <w:rPr>
                <w:b w:val="0"/>
              </w:rPr>
            </w:pPr>
            <w:r w:rsidRPr="00B56E1F">
              <w:t>Kasv (%)</w:t>
            </w:r>
          </w:p>
        </w:tc>
        <w:tc>
          <w:tcPr>
            <w:tcW w:w="1134" w:type="dxa"/>
            <w:vAlign w:val="center"/>
          </w:tcPr>
          <w:p w14:paraId="643B96F9" w14:textId="50EA67C3"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14,3%</w:t>
            </w:r>
          </w:p>
        </w:tc>
        <w:tc>
          <w:tcPr>
            <w:tcW w:w="992" w:type="dxa"/>
            <w:vAlign w:val="bottom"/>
          </w:tcPr>
          <w:p w14:paraId="5D1BB5B5" w14:textId="255FA2D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13,1%</w:t>
            </w:r>
          </w:p>
        </w:tc>
        <w:tc>
          <w:tcPr>
            <w:tcW w:w="992" w:type="dxa"/>
            <w:vAlign w:val="center"/>
          </w:tcPr>
          <w:p w14:paraId="0B16C623" w14:textId="7285DF2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9,8%</w:t>
            </w:r>
          </w:p>
        </w:tc>
        <w:tc>
          <w:tcPr>
            <w:tcW w:w="992" w:type="dxa"/>
            <w:vAlign w:val="center"/>
          </w:tcPr>
          <w:p w14:paraId="03BBD6FA" w14:textId="5628C052"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7,1%</w:t>
            </w:r>
          </w:p>
        </w:tc>
        <w:tc>
          <w:tcPr>
            <w:tcW w:w="993" w:type="dxa"/>
            <w:vAlign w:val="center"/>
          </w:tcPr>
          <w:p w14:paraId="5832F961" w14:textId="2CD52B07"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2,3%</w:t>
            </w:r>
          </w:p>
        </w:tc>
        <w:tc>
          <w:tcPr>
            <w:tcW w:w="992" w:type="dxa"/>
            <w:vAlign w:val="center"/>
          </w:tcPr>
          <w:p w14:paraId="3695DFCC" w14:textId="283054DD"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5,0%</w:t>
            </w:r>
          </w:p>
        </w:tc>
        <w:tc>
          <w:tcPr>
            <w:tcW w:w="992" w:type="dxa"/>
            <w:vAlign w:val="center"/>
          </w:tcPr>
          <w:p w14:paraId="2EB75B9E" w14:textId="30942276" w:rsidR="00B666BA" w:rsidRPr="00B56E1F" w:rsidRDefault="00B666BA" w:rsidP="00B56E1F">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B56E1F">
              <w:rPr>
                <w:b/>
                <w:bCs/>
              </w:rPr>
              <w:t>0,5%</w:t>
            </w:r>
          </w:p>
        </w:tc>
      </w:tr>
    </w:tbl>
    <w:p w14:paraId="541A58E0" w14:textId="77777777" w:rsidR="00831AD9" w:rsidRPr="00414819" w:rsidRDefault="00831AD9" w:rsidP="00831AD9">
      <w:pPr>
        <w:rPr>
          <w:highlight w:val="yellow"/>
        </w:rPr>
      </w:pPr>
      <w:r w:rsidRPr="00414819">
        <w:rPr>
          <w:highlight w:val="yellow"/>
        </w:rPr>
        <w:br w:type="page"/>
      </w:r>
    </w:p>
    <w:p w14:paraId="11D06A09" w14:textId="1A745F38" w:rsidR="00831AD9" w:rsidRPr="001D6947" w:rsidRDefault="00831AD9" w:rsidP="00E54FF2">
      <w:pPr>
        <w:pStyle w:val="Caption"/>
      </w:pPr>
      <w:bookmarkStart w:id="270" w:name="_Ref511397834"/>
      <w:bookmarkStart w:id="271" w:name="_Toc511056825"/>
      <w:bookmarkStart w:id="272" w:name="_Toc4502677"/>
      <w:bookmarkStart w:id="273" w:name="_Toc143775558"/>
      <w:r w:rsidRPr="001D6947">
        <w:lastRenderedPageBreak/>
        <w:t xml:space="preserve">Tabel </w:t>
      </w:r>
      <w:r w:rsidR="004C0EAE">
        <w:fldChar w:fldCharType="begin"/>
      </w:r>
      <w:r w:rsidR="004C0EAE">
        <w:instrText xml:space="preserve"> SEQ Tabel \* ARABIC </w:instrText>
      </w:r>
      <w:r w:rsidR="004C0EAE">
        <w:fldChar w:fldCharType="separate"/>
      </w:r>
      <w:r w:rsidR="00D84B51">
        <w:rPr>
          <w:noProof/>
        </w:rPr>
        <w:t>17</w:t>
      </w:r>
      <w:r w:rsidR="004C0EAE">
        <w:rPr>
          <w:noProof/>
        </w:rPr>
        <w:fldChar w:fldCharType="end"/>
      </w:r>
      <w:bookmarkEnd w:id="270"/>
      <w:r w:rsidRPr="001D6947">
        <w:t>. Peamised maksumuudatused 202</w:t>
      </w:r>
      <w:r w:rsidR="003E48FC" w:rsidRPr="001D6947">
        <w:t>3</w:t>
      </w:r>
      <w:r w:rsidRPr="001D6947">
        <w:t>. ja 202</w:t>
      </w:r>
      <w:r w:rsidR="003E48FC" w:rsidRPr="001D6947">
        <w:t>4</w:t>
      </w:r>
      <w:r w:rsidRPr="001D6947">
        <w:t>. aastal</w:t>
      </w:r>
      <w:bookmarkEnd w:id="271"/>
      <w:bookmarkEnd w:id="272"/>
      <w:bookmarkEnd w:id="273"/>
    </w:p>
    <w:tbl>
      <w:tblPr>
        <w:tblStyle w:val="TableSubtle1"/>
        <w:tblW w:w="9458" w:type="dxa"/>
        <w:tblLook w:val="04A0" w:firstRow="1" w:lastRow="0" w:firstColumn="1" w:lastColumn="0" w:noHBand="0" w:noVBand="1"/>
      </w:tblPr>
      <w:tblGrid>
        <w:gridCol w:w="3261"/>
        <w:gridCol w:w="1524"/>
        <w:gridCol w:w="1027"/>
        <w:gridCol w:w="1276"/>
        <w:gridCol w:w="142"/>
        <w:gridCol w:w="1073"/>
        <w:gridCol w:w="1155"/>
      </w:tblGrid>
      <w:tr w:rsidR="00831AD9" w:rsidRPr="001D6947" w14:paraId="06E2DB49" w14:textId="77777777" w:rsidTr="005150B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hideMark/>
          </w:tcPr>
          <w:p w14:paraId="03809AE3" w14:textId="77777777" w:rsidR="00831AD9" w:rsidRPr="001D6947" w:rsidRDefault="00831AD9" w:rsidP="005150BF">
            <w:pPr>
              <w:pStyle w:val="Tabelid"/>
            </w:pPr>
            <w:r w:rsidRPr="001D6947">
              <w:t> </w:t>
            </w:r>
          </w:p>
        </w:tc>
        <w:tc>
          <w:tcPr>
            <w:tcW w:w="1524" w:type="dxa"/>
            <w:hideMark/>
          </w:tcPr>
          <w:p w14:paraId="77C2B21B" w14:textId="77777777" w:rsidR="00831AD9" w:rsidRPr="001D6947" w:rsidRDefault="00831AD9" w:rsidP="005150BF">
            <w:pPr>
              <w:pStyle w:val="Tabelid"/>
              <w:cnfStyle w:val="100000000000" w:firstRow="1" w:lastRow="0" w:firstColumn="0" w:lastColumn="0" w:oddVBand="0" w:evenVBand="0" w:oddHBand="0" w:evenHBand="0" w:firstRowFirstColumn="0" w:firstRowLastColumn="0" w:lastRowFirstColumn="0" w:lastRowLastColumn="0"/>
            </w:pPr>
            <w:r w:rsidRPr="001D6947">
              <w:t>Jõustumine</w:t>
            </w:r>
          </w:p>
        </w:tc>
        <w:tc>
          <w:tcPr>
            <w:tcW w:w="2303" w:type="dxa"/>
            <w:gridSpan w:val="2"/>
            <w:hideMark/>
          </w:tcPr>
          <w:p w14:paraId="0337A621" w14:textId="714AD9B8" w:rsidR="00831AD9" w:rsidRPr="001D6947"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pPr>
            <w:r w:rsidRPr="001D6947">
              <w:t>Mõju 202</w:t>
            </w:r>
            <w:r w:rsidR="003E48FC" w:rsidRPr="001D6947">
              <w:t>3</w:t>
            </w:r>
          </w:p>
        </w:tc>
        <w:tc>
          <w:tcPr>
            <w:tcW w:w="2370" w:type="dxa"/>
            <w:gridSpan w:val="3"/>
            <w:hideMark/>
          </w:tcPr>
          <w:p w14:paraId="08ECFE42" w14:textId="1BA2E597" w:rsidR="00831AD9" w:rsidRPr="001D6947" w:rsidRDefault="00831AD9" w:rsidP="004C5163">
            <w:pPr>
              <w:pStyle w:val="Tabelid"/>
              <w:jc w:val="right"/>
              <w:cnfStyle w:val="100000000000" w:firstRow="1" w:lastRow="0" w:firstColumn="0" w:lastColumn="0" w:oddVBand="0" w:evenVBand="0" w:oddHBand="0" w:evenHBand="0" w:firstRowFirstColumn="0" w:firstRowLastColumn="0" w:lastRowFirstColumn="0" w:lastRowLastColumn="0"/>
            </w:pPr>
            <w:r w:rsidRPr="001D6947">
              <w:t>Mõju 202</w:t>
            </w:r>
            <w:r w:rsidR="003E48FC" w:rsidRPr="001D6947">
              <w:t>4</w:t>
            </w:r>
          </w:p>
        </w:tc>
      </w:tr>
      <w:tr w:rsidR="00831AD9" w:rsidRPr="001D6947" w14:paraId="65707F78" w14:textId="77777777" w:rsidTr="005150B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261" w:type="dxa"/>
            <w:hideMark/>
          </w:tcPr>
          <w:p w14:paraId="4803378E" w14:textId="77777777" w:rsidR="00831AD9" w:rsidRPr="001D6947" w:rsidRDefault="00831AD9" w:rsidP="005150BF">
            <w:pPr>
              <w:pStyle w:val="Tabelid"/>
              <w:rPr>
                <w:i/>
              </w:rPr>
            </w:pPr>
            <w:r w:rsidRPr="001D6947">
              <w:rPr>
                <w:i/>
              </w:rPr>
              <w:t> </w:t>
            </w:r>
          </w:p>
        </w:tc>
        <w:tc>
          <w:tcPr>
            <w:tcW w:w="1524" w:type="dxa"/>
            <w:hideMark/>
          </w:tcPr>
          <w:p w14:paraId="3E772E70" w14:textId="77777777" w:rsidR="00831AD9" w:rsidRPr="001D6947" w:rsidRDefault="00831AD9" w:rsidP="005150BF">
            <w:pPr>
              <w:pStyle w:val="Tabelid"/>
              <w:cnfStyle w:val="000000100000" w:firstRow="0" w:lastRow="0" w:firstColumn="0" w:lastColumn="0" w:oddVBand="0" w:evenVBand="0" w:oddHBand="1" w:evenHBand="0" w:firstRowFirstColumn="0" w:firstRowLastColumn="0" w:lastRowFirstColumn="0" w:lastRowLastColumn="0"/>
            </w:pPr>
            <w:r w:rsidRPr="001D6947">
              <w:t> </w:t>
            </w:r>
          </w:p>
        </w:tc>
        <w:tc>
          <w:tcPr>
            <w:tcW w:w="1027" w:type="dxa"/>
            <w:hideMark/>
          </w:tcPr>
          <w:p w14:paraId="7D3D4830" w14:textId="77777777" w:rsidR="00831AD9" w:rsidRPr="001D6947"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1D6947">
              <w:t>Mln eurot</w:t>
            </w:r>
          </w:p>
        </w:tc>
        <w:tc>
          <w:tcPr>
            <w:tcW w:w="1418" w:type="dxa"/>
            <w:gridSpan w:val="2"/>
            <w:hideMark/>
          </w:tcPr>
          <w:p w14:paraId="330760E9" w14:textId="77777777" w:rsidR="00831AD9" w:rsidRPr="001D6947"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1D6947">
              <w:t>% SKPst</w:t>
            </w:r>
          </w:p>
        </w:tc>
        <w:tc>
          <w:tcPr>
            <w:tcW w:w="1073" w:type="dxa"/>
            <w:hideMark/>
          </w:tcPr>
          <w:p w14:paraId="3D1D8DB5" w14:textId="77777777" w:rsidR="00831AD9" w:rsidRPr="001D6947"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1D6947">
              <w:t>Mln eurot</w:t>
            </w:r>
          </w:p>
        </w:tc>
        <w:tc>
          <w:tcPr>
            <w:tcW w:w="1155" w:type="dxa"/>
            <w:hideMark/>
          </w:tcPr>
          <w:p w14:paraId="31D22209" w14:textId="77777777" w:rsidR="00831AD9" w:rsidRPr="001D6947" w:rsidRDefault="00831AD9" w:rsidP="004C5163">
            <w:pPr>
              <w:pStyle w:val="Tabelid"/>
              <w:jc w:val="right"/>
              <w:cnfStyle w:val="000000100000" w:firstRow="0" w:lastRow="0" w:firstColumn="0" w:lastColumn="0" w:oddVBand="0" w:evenVBand="0" w:oddHBand="1" w:evenHBand="0" w:firstRowFirstColumn="0" w:firstRowLastColumn="0" w:lastRowFirstColumn="0" w:lastRowLastColumn="0"/>
            </w:pPr>
            <w:r w:rsidRPr="001D6947">
              <w:t>% SKPst</w:t>
            </w:r>
          </w:p>
        </w:tc>
      </w:tr>
      <w:tr w:rsidR="003E48FC" w:rsidRPr="001D6947" w14:paraId="2CE77255" w14:textId="77777777" w:rsidTr="005150BF">
        <w:trPr>
          <w:trHeight w:val="315"/>
        </w:trPr>
        <w:tc>
          <w:tcPr>
            <w:cnfStyle w:val="001000000000" w:firstRow="0" w:lastRow="0" w:firstColumn="1" w:lastColumn="0" w:oddVBand="0" w:evenVBand="0" w:oddHBand="0" w:evenHBand="0" w:firstRowFirstColumn="0" w:firstRowLastColumn="0" w:lastRowFirstColumn="0" w:lastRowLastColumn="0"/>
            <w:tcW w:w="3261" w:type="dxa"/>
            <w:hideMark/>
          </w:tcPr>
          <w:p w14:paraId="27D71462" w14:textId="66CB6A25" w:rsidR="003E48FC" w:rsidRPr="001D6947" w:rsidRDefault="003E48FC" w:rsidP="003E48FC">
            <w:pPr>
              <w:pStyle w:val="Tabelid"/>
              <w:rPr>
                <w:b w:val="0"/>
              </w:rPr>
            </w:pPr>
            <w:r w:rsidRPr="001D6947">
              <w:t>KOKKU</w:t>
            </w:r>
          </w:p>
        </w:tc>
        <w:tc>
          <w:tcPr>
            <w:tcW w:w="1524" w:type="dxa"/>
          </w:tcPr>
          <w:p w14:paraId="0135BBC3" w14:textId="77777777" w:rsidR="003E48FC" w:rsidRPr="001D6947" w:rsidRDefault="003E48FC" w:rsidP="003E48FC">
            <w:pPr>
              <w:pStyle w:val="Tabelid"/>
              <w:cnfStyle w:val="000000000000" w:firstRow="0" w:lastRow="0" w:firstColumn="0" w:lastColumn="0" w:oddVBand="0" w:evenVBand="0" w:oddHBand="0" w:evenHBand="0" w:firstRowFirstColumn="0" w:firstRowLastColumn="0" w:lastRowFirstColumn="0" w:lastRowLastColumn="0"/>
            </w:pPr>
          </w:p>
        </w:tc>
        <w:tc>
          <w:tcPr>
            <w:tcW w:w="1027" w:type="dxa"/>
          </w:tcPr>
          <w:p w14:paraId="0570D83F" w14:textId="41F1C2B7"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1D6947">
              <w:rPr>
                <w:b/>
                <w:bCs/>
              </w:rPr>
              <w:t>-58,7</w:t>
            </w:r>
          </w:p>
        </w:tc>
        <w:tc>
          <w:tcPr>
            <w:tcW w:w="1418" w:type="dxa"/>
            <w:gridSpan w:val="2"/>
          </w:tcPr>
          <w:p w14:paraId="5524A966" w14:textId="6A738C56" w:rsidR="003E48FC" w:rsidRPr="001D6947" w:rsidRDefault="00E5301C" w:rsidP="003E48FC">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1D6947">
              <w:rPr>
                <w:b/>
                <w:bCs/>
              </w:rPr>
              <w:t>-0,15</w:t>
            </w:r>
          </w:p>
        </w:tc>
        <w:tc>
          <w:tcPr>
            <w:tcW w:w="1073" w:type="dxa"/>
          </w:tcPr>
          <w:p w14:paraId="7A83A273" w14:textId="193E5EBA"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1D6947">
              <w:rPr>
                <w:b/>
                <w:bCs/>
              </w:rPr>
              <w:t>81,7</w:t>
            </w:r>
          </w:p>
        </w:tc>
        <w:tc>
          <w:tcPr>
            <w:tcW w:w="1155" w:type="dxa"/>
          </w:tcPr>
          <w:p w14:paraId="26FC020D" w14:textId="120D0DA9" w:rsidR="003E48FC" w:rsidRPr="001D6947" w:rsidRDefault="00E5301C" w:rsidP="003E48FC">
            <w:pPr>
              <w:pStyle w:val="Tabelid"/>
              <w:jc w:val="right"/>
              <w:cnfStyle w:val="000000000000" w:firstRow="0" w:lastRow="0" w:firstColumn="0" w:lastColumn="0" w:oddVBand="0" w:evenVBand="0" w:oddHBand="0" w:evenHBand="0" w:firstRowFirstColumn="0" w:firstRowLastColumn="0" w:lastRowFirstColumn="0" w:lastRowLastColumn="0"/>
              <w:rPr>
                <w:b/>
                <w:bCs/>
              </w:rPr>
            </w:pPr>
            <w:r w:rsidRPr="001D6947">
              <w:rPr>
                <w:b/>
                <w:bCs/>
              </w:rPr>
              <w:t>0,20</w:t>
            </w:r>
          </w:p>
        </w:tc>
      </w:tr>
      <w:tr w:rsidR="003E48FC" w:rsidRPr="001D6947" w14:paraId="7BA6CD1F" w14:textId="77777777" w:rsidTr="005150B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261" w:type="dxa"/>
          </w:tcPr>
          <w:p w14:paraId="535EA140" w14:textId="08F37873" w:rsidR="003E48FC" w:rsidRPr="001D6947" w:rsidRDefault="003E48FC" w:rsidP="003E48FC">
            <w:pPr>
              <w:pStyle w:val="Tabelid"/>
              <w:rPr>
                <w:b w:val="0"/>
                <w:bCs/>
              </w:rPr>
            </w:pPr>
            <w:r w:rsidRPr="001D6947">
              <w:rPr>
                <w:b w:val="0"/>
                <w:bCs/>
              </w:rPr>
              <w:t>Üldise maksuvaba tulu tõstmine 500€lt 654€le kuus</w:t>
            </w:r>
          </w:p>
        </w:tc>
        <w:tc>
          <w:tcPr>
            <w:tcW w:w="1524" w:type="dxa"/>
          </w:tcPr>
          <w:p w14:paraId="705CE71F" w14:textId="36202F8D" w:rsidR="003E48FC" w:rsidRPr="001D6947" w:rsidRDefault="003E48FC" w:rsidP="003E48FC">
            <w:pPr>
              <w:pStyle w:val="Tabelid"/>
              <w:cnfStyle w:val="000000100000" w:firstRow="0" w:lastRow="0" w:firstColumn="0" w:lastColumn="0" w:oddVBand="0" w:evenVBand="0" w:oddHBand="1" w:evenHBand="0" w:firstRowFirstColumn="0" w:firstRowLastColumn="0" w:lastRowFirstColumn="0" w:lastRowLastColumn="0"/>
            </w:pPr>
            <w:r w:rsidRPr="001D6947">
              <w:t>01.01.2023</w:t>
            </w:r>
          </w:p>
        </w:tc>
        <w:tc>
          <w:tcPr>
            <w:tcW w:w="1027" w:type="dxa"/>
          </w:tcPr>
          <w:p w14:paraId="371B7471" w14:textId="4D340DD9"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w:t>
            </w:r>
            <w:r w:rsidR="00406890" w:rsidRPr="001D6947">
              <w:t>9</w:t>
            </w:r>
            <w:r w:rsidRPr="001D6947">
              <w:t>,</w:t>
            </w:r>
            <w:r w:rsidR="00406890" w:rsidRPr="001D6947">
              <w:t>8</w:t>
            </w:r>
          </w:p>
        </w:tc>
        <w:tc>
          <w:tcPr>
            <w:tcW w:w="1418" w:type="dxa"/>
            <w:gridSpan w:val="2"/>
          </w:tcPr>
          <w:p w14:paraId="334EE759" w14:textId="0FD55543" w:rsidR="003E48FC"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-0,03</w:t>
            </w:r>
          </w:p>
        </w:tc>
        <w:tc>
          <w:tcPr>
            <w:tcW w:w="1073" w:type="dxa"/>
          </w:tcPr>
          <w:p w14:paraId="750E0211" w14:textId="7848A5BA"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-7</w:t>
            </w:r>
            <w:r w:rsidR="002E75C2" w:rsidRPr="001D6947">
              <w:t>7</w:t>
            </w:r>
            <w:r w:rsidRPr="001D6947">
              <w:t>,</w:t>
            </w:r>
            <w:r w:rsidR="002E75C2" w:rsidRPr="001D6947">
              <w:t>6</w:t>
            </w:r>
          </w:p>
        </w:tc>
        <w:tc>
          <w:tcPr>
            <w:tcW w:w="1155" w:type="dxa"/>
          </w:tcPr>
          <w:p w14:paraId="357243FB" w14:textId="4511BD37" w:rsidR="003E48FC"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-0,19</w:t>
            </w:r>
          </w:p>
        </w:tc>
      </w:tr>
      <w:tr w:rsidR="003E48FC" w:rsidRPr="001D6947" w14:paraId="791E347B" w14:textId="77777777" w:rsidTr="005150BF">
        <w:trPr>
          <w:trHeight w:val="480"/>
        </w:trPr>
        <w:tc>
          <w:tcPr>
            <w:cnfStyle w:val="001000000000" w:firstRow="0" w:lastRow="0" w:firstColumn="1" w:lastColumn="0" w:oddVBand="0" w:evenVBand="0" w:oddHBand="0" w:evenHBand="0" w:firstRowFirstColumn="0" w:firstRowLastColumn="0" w:lastRowFirstColumn="0" w:lastRowLastColumn="0"/>
            <w:tcW w:w="3261" w:type="dxa"/>
          </w:tcPr>
          <w:p w14:paraId="08BD97ED" w14:textId="373E554C" w:rsidR="003E48FC" w:rsidRPr="001D6947" w:rsidRDefault="003E48FC" w:rsidP="003E48FC">
            <w:pPr>
              <w:pStyle w:val="Tabelid"/>
              <w:rPr>
                <w:b w:val="0"/>
                <w:bCs/>
              </w:rPr>
            </w:pPr>
            <w:r w:rsidRPr="001D6947">
              <w:rPr>
                <w:b w:val="0"/>
                <w:bCs/>
              </w:rPr>
              <w:t>Oma tarbest üle</w:t>
            </w:r>
            <w:r w:rsidR="003A727F" w:rsidRPr="001D6947">
              <w:rPr>
                <w:b w:val="0"/>
                <w:bCs/>
              </w:rPr>
              <w:t xml:space="preserve"> </w:t>
            </w:r>
            <w:r w:rsidRPr="001D6947">
              <w:rPr>
                <w:b w:val="0"/>
                <w:bCs/>
              </w:rPr>
              <w:t>jääva elektri müügi tulumaksuvabastus</w:t>
            </w:r>
          </w:p>
        </w:tc>
        <w:tc>
          <w:tcPr>
            <w:tcW w:w="1524" w:type="dxa"/>
          </w:tcPr>
          <w:p w14:paraId="6C7A059C" w14:textId="0B4B9DB9" w:rsidR="003E48FC" w:rsidRPr="001D6947" w:rsidRDefault="003E48FC" w:rsidP="003E48FC">
            <w:pPr>
              <w:pStyle w:val="Tabelid"/>
              <w:cnfStyle w:val="000000000000" w:firstRow="0" w:lastRow="0" w:firstColumn="0" w:lastColumn="0" w:oddVBand="0" w:evenVBand="0" w:oddHBand="0" w:evenHBand="0" w:firstRowFirstColumn="0" w:firstRowLastColumn="0" w:lastRowFirstColumn="0" w:lastRowLastColumn="0"/>
            </w:pPr>
            <w:r w:rsidRPr="001D6947">
              <w:t>01.01.2022</w:t>
            </w:r>
          </w:p>
        </w:tc>
        <w:tc>
          <w:tcPr>
            <w:tcW w:w="1027" w:type="dxa"/>
          </w:tcPr>
          <w:p w14:paraId="20361973" w14:textId="6EEE7BF9" w:rsidR="003E48FC" w:rsidRPr="001D6947" w:rsidRDefault="003E48F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-1,5</w:t>
            </w:r>
          </w:p>
        </w:tc>
        <w:tc>
          <w:tcPr>
            <w:tcW w:w="1418" w:type="dxa"/>
            <w:gridSpan w:val="2"/>
          </w:tcPr>
          <w:p w14:paraId="567B1A48" w14:textId="62A49236"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0,00</w:t>
            </w:r>
          </w:p>
        </w:tc>
        <w:tc>
          <w:tcPr>
            <w:tcW w:w="1073" w:type="dxa"/>
          </w:tcPr>
          <w:p w14:paraId="4BAC1D43" w14:textId="7521123F" w:rsidR="003E48FC" w:rsidRPr="001D6947" w:rsidRDefault="003E48F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-1,</w:t>
            </w:r>
            <w:r w:rsidR="00406890" w:rsidRPr="001D6947">
              <w:t>0</w:t>
            </w:r>
          </w:p>
        </w:tc>
        <w:tc>
          <w:tcPr>
            <w:tcW w:w="1155" w:type="dxa"/>
          </w:tcPr>
          <w:p w14:paraId="24EB7CC4" w14:textId="7EC77832"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0,00</w:t>
            </w:r>
          </w:p>
        </w:tc>
      </w:tr>
      <w:tr w:rsidR="003E48FC" w:rsidRPr="001D6947" w14:paraId="2F84E663" w14:textId="77777777" w:rsidTr="005150B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261" w:type="dxa"/>
          </w:tcPr>
          <w:p w14:paraId="4619F6E7" w14:textId="1A42191E" w:rsidR="003E48FC" w:rsidRPr="001D6947" w:rsidRDefault="003E48FC" w:rsidP="003E48FC">
            <w:pPr>
              <w:pStyle w:val="Tabelid"/>
              <w:rPr>
                <w:b w:val="0"/>
                <w:bCs/>
              </w:rPr>
            </w:pPr>
            <w:r w:rsidRPr="001D6947">
              <w:rPr>
                <w:b w:val="0"/>
                <w:bCs/>
              </w:rPr>
              <w:t>Platvormihaldurite kohustuslik andmete esitamine</w:t>
            </w:r>
          </w:p>
        </w:tc>
        <w:tc>
          <w:tcPr>
            <w:tcW w:w="1524" w:type="dxa"/>
          </w:tcPr>
          <w:p w14:paraId="6D21D574" w14:textId="117124E9" w:rsidR="003E48FC" w:rsidRPr="001D6947" w:rsidRDefault="003E48FC" w:rsidP="003E48FC">
            <w:pPr>
              <w:pStyle w:val="Tabelid"/>
              <w:cnfStyle w:val="000000100000" w:firstRow="0" w:lastRow="0" w:firstColumn="0" w:lastColumn="0" w:oddVBand="0" w:evenVBand="0" w:oddHBand="1" w:evenHBand="0" w:firstRowFirstColumn="0" w:firstRowLastColumn="0" w:lastRowFirstColumn="0" w:lastRowLastColumn="0"/>
            </w:pPr>
            <w:r w:rsidRPr="001D6947">
              <w:t>01.01.2023</w:t>
            </w:r>
          </w:p>
        </w:tc>
        <w:tc>
          <w:tcPr>
            <w:tcW w:w="1027" w:type="dxa"/>
          </w:tcPr>
          <w:p w14:paraId="4606C5AA" w14:textId="3CA1ACBA"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418" w:type="dxa"/>
            <w:gridSpan w:val="2"/>
          </w:tcPr>
          <w:p w14:paraId="0CD9F4C9" w14:textId="216C2A3F"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073" w:type="dxa"/>
          </w:tcPr>
          <w:p w14:paraId="20907752" w14:textId="2E945F9C"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2,7</w:t>
            </w:r>
          </w:p>
        </w:tc>
        <w:tc>
          <w:tcPr>
            <w:tcW w:w="1155" w:type="dxa"/>
          </w:tcPr>
          <w:p w14:paraId="613E5662" w14:textId="3FEDA242" w:rsidR="003E48FC"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0,01</w:t>
            </w:r>
          </w:p>
        </w:tc>
      </w:tr>
      <w:tr w:rsidR="003E48FC" w:rsidRPr="001D6947" w14:paraId="232A61EB" w14:textId="77777777" w:rsidTr="005150BF">
        <w:trPr>
          <w:trHeight w:val="1388"/>
        </w:trPr>
        <w:tc>
          <w:tcPr>
            <w:cnfStyle w:val="001000000000" w:firstRow="0" w:lastRow="0" w:firstColumn="1" w:lastColumn="0" w:oddVBand="0" w:evenVBand="0" w:oddHBand="0" w:evenHBand="0" w:firstRowFirstColumn="0" w:firstRowLastColumn="0" w:lastRowFirstColumn="0" w:lastRowLastColumn="0"/>
            <w:tcW w:w="3261" w:type="dxa"/>
          </w:tcPr>
          <w:p w14:paraId="18873650" w14:textId="2342B87D" w:rsidR="003E48FC" w:rsidRPr="001D6947" w:rsidRDefault="003E48FC" w:rsidP="003E48FC">
            <w:pPr>
              <w:pStyle w:val="Tabelid"/>
              <w:rPr>
                <w:b w:val="0"/>
                <w:bCs/>
              </w:rPr>
            </w:pPr>
            <w:r w:rsidRPr="001D6947">
              <w:rPr>
                <w:b w:val="0"/>
                <w:bCs/>
              </w:rPr>
              <w:t>Keskmise vanaduspensioni tulumaksuvabastus</w:t>
            </w:r>
          </w:p>
        </w:tc>
        <w:tc>
          <w:tcPr>
            <w:tcW w:w="1524" w:type="dxa"/>
          </w:tcPr>
          <w:p w14:paraId="163B6671" w14:textId="5A983395" w:rsidR="003E48FC" w:rsidRPr="001D6947" w:rsidRDefault="003E48FC" w:rsidP="003E48FC">
            <w:pPr>
              <w:pStyle w:val="Tabelid"/>
              <w:cnfStyle w:val="000000000000" w:firstRow="0" w:lastRow="0" w:firstColumn="0" w:lastColumn="0" w:oddVBand="0" w:evenVBand="0" w:oddHBand="0" w:evenHBand="0" w:firstRowFirstColumn="0" w:firstRowLastColumn="0" w:lastRowFirstColumn="0" w:lastRowLastColumn="0"/>
            </w:pPr>
            <w:r w:rsidRPr="001D6947">
              <w:t>01.01.2023</w:t>
            </w:r>
          </w:p>
        </w:tc>
        <w:tc>
          <w:tcPr>
            <w:tcW w:w="1027" w:type="dxa"/>
          </w:tcPr>
          <w:p w14:paraId="7FD5CC8C" w14:textId="32625920" w:rsidR="003E48FC" w:rsidRPr="001D6947" w:rsidRDefault="003E48F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w:t>
            </w:r>
            <w:r w:rsidR="00406890" w:rsidRPr="001D6947">
              <w:t>85,4</w:t>
            </w:r>
          </w:p>
        </w:tc>
        <w:tc>
          <w:tcPr>
            <w:tcW w:w="1418" w:type="dxa"/>
            <w:gridSpan w:val="2"/>
          </w:tcPr>
          <w:p w14:paraId="48150C59" w14:textId="2FF52CC3"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-0,22</w:t>
            </w:r>
          </w:p>
        </w:tc>
        <w:tc>
          <w:tcPr>
            <w:tcW w:w="1073" w:type="dxa"/>
          </w:tcPr>
          <w:p w14:paraId="6A8784FA" w14:textId="778C2A72" w:rsidR="003E48FC" w:rsidRPr="001D6947" w:rsidRDefault="003E48F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w:t>
            </w:r>
            <w:r w:rsidR="00406890" w:rsidRPr="001D6947">
              <w:t>166,7</w:t>
            </w:r>
          </w:p>
        </w:tc>
        <w:tc>
          <w:tcPr>
            <w:tcW w:w="1155" w:type="dxa"/>
          </w:tcPr>
          <w:p w14:paraId="6C055212" w14:textId="1371F65C"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-0,40</w:t>
            </w:r>
          </w:p>
        </w:tc>
      </w:tr>
      <w:tr w:rsidR="004C7EDA" w:rsidRPr="001D6947" w14:paraId="06B4308E" w14:textId="77777777" w:rsidTr="005150BF">
        <w:trPr>
          <w:cnfStyle w:val="000000100000" w:firstRow="0" w:lastRow="0" w:firstColumn="0" w:lastColumn="0" w:oddVBand="0" w:evenVBand="0" w:oddHBand="1" w:evenHBand="0" w:firstRowFirstColumn="0" w:firstRowLastColumn="0" w:lastRowFirstColumn="0" w:lastRowLastColumn="0"/>
          <w:trHeight w:val="1388"/>
        </w:trPr>
        <w:tc>
          <w:tcPr>
            <w:cnfStyle w:val="001000000000" w:firstRow="0" w:lastRow="0" w:firstColumn="1" w:lastColumn="0" w:oddVBand="0" w:evenVBand="0" w:oddHBand="0" w:evenHBand="0" w:firstRowFirstColumn="0" w:firstRowLastColumn="0" w:lastRowFirstColumn="0" w:lastRowLastColumn="0"/>
            <w:tcW w:w="3261" w:type="dxa"/>
          </w:tcPr>
          <w:p w14:paraId="10834D12" w14:textId="5642FE00" w:rsidR="004C7EDA" w:rsidRPr="001D6947" w:rsidRDefault="004C7EDA" w:rsidP="003E48FC">
            <w:pPr>
              <w:pStyle w:val="Tabelid"/>
              <w:rPr>
                <w:bCs/>
              </w:rPr>
            </w:pPr>
            <w:r w:rsidRPr="001D6947">
              <w:rPr>
                <w:b w:val="0"/>
                <w:bCs/>
              </w:rPr>
              <w:t>Juriidilise isiku tulumaksu määr 22%</w:t>
            </w:r>
          </w:p>
        </w:tc>
        <w:tc>
          <w:tcPr>
            <w:tcW w:w="1524" w:type="dxa"/>
          </w:tcPr>
          <w:p w14:paraId="183055A7" w14:textId="064999AC" w:rsidR="004C7EDA" w:rsidRPr="001D6947" w:rsidRDefault="004C7EDA" w:rsidP="003E48FC">
            <w:pPr>
              <w:pStyle w:val="Tabelid"/>
              <w:cnfStyle w:val="000000100000" w:firstRow="0" w:lastRow="0" w:firstColumn="0" w:lastColumn="0" w:oddVBand="0" w:evenVBand="0" w:oddHBand="1" w:evenHBand="0" w:firstRowFirstColumn="0" w:firstRowLastColumn="0" w:lastRowFirstColumn="0" w:lastRowLastColumn="0"/>
            </w:pPr>
            <w:r w:rsidRPr="001D6947">
              <w:t>01.01.2025</w:t>
            </w:r>
          </w:p>
        </w:tc>
        <w:tc>
          <w:tcPr>
            <w:tcW w:w="1027" w:type="dxa"/>
          </w:tcPr>
          <w:p w14:paraId="11529E4B" w14:textId="77777777" w:rsidR="004C7EDA"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418" w:type="dxa"/>
            <w:gridSpan w:val="2"/>
          </w:tcPr>
          <w:p w14:paraId="298F66AF" w14:textId="77777777" w:rsidR="004C7EDA"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073" w:type="dxa"/>
          </w:tcPr>
          <w:p w14:paraId="7D630D54" w14:textId="5E54AF16" w:rsidR="004C7EDA"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34.9</w:t>
            </w:r>
          </w:p>
        </w:tc>
        <w:tc>
          <w:tcPr>
            <w:tcW w:w="1155" w:type="dxa"/>
          </w:tcPr>
          <w:p w14:paraId="5C0353D6" w14:textId="503A7566" w:rsidR="004C7EDA" w:rsidRPr="001D6947" w:rsidRDefault="00E5301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0,08</w:t>
            </w:r>
          </w:p>
        </w:tc>
      </w:tr>
      <w:tr w:rsidR="003E48FC" w:rsidRPr="001D6947" w14:paraId="2916D89F" w14:textId="77777777" w:rsidTr="005150BF">
        <w:trPr>
          <w:trHeight w:val="300"/>
        </w:trPr>
        <w:tc>
          <w:tcPr>
            <w:cnfStyle w:val="001000000000" w:firstRow="0" w:lastRow="0" w:firstColumn="1" w:lastColumn="0" w:oddVBand="0" w:evenVBand="0" w:oddHBand="0" w:evenHBand="0" w:firstRowFirstColumn="0" w:firstRowLastColumn="0" w:lastRowFirstColumn="0" w:lastRowLastColumn="0"/>
            <w:tcW w:w="3261" w:type="dxa"/>
          </w:tcPr>
          <w:p w14:paraId="2BFB4512" w14:textId="07452500" w:rsidR="003E48FC" w:rsidRPr="001D6947" w:rsidRDefault="004C7EDA" w:rsidP="003E48FC">
            <w:pPr>
              <w:pStyle w:val="Tabelid"/>
              <w:rPr>
                <w:b w:val="0"/>
                <w:bCs/>
              </w:rPr>
            </w:pPr>
            <w:r w:rsidRPr="001D6947">
              <w:rPr>
                <w:b w:val="0"/>
                <w:bCs/>
              </w:rPr>
              <w:t>Sigarettide ja suitsetamistubaka</w:t>
            </w:r>
            <w:r w:rsidR="003E48FC" w:rsidRPr="001D6947">
              <w:rPr>
                <w:b w:val="0"/>
                <w:bCs/>
              </w:rPr>
              <w:t xml:space="preserve"> aktsiisi</w:t>
            </w:r>
            <w:r w:rsidRPr="001D6947">
              <w:rPr>
                <w:b w:val="0"/>
                <w:bCs/>
              </w:rPr>
              <w:t>määra</w:t>
            </w:r>
            <w:r w:rsidR="003E48FC" w:rsidRPr="001D6947">
              <w:rPr>
                <w:b w:val="0"/>
                <w:bCs/>
              </w:rPr>
              <w:t xml:space="preserve"> tõstmine 5%</w:t>
            </w:r>
            <w:r w:rsidRPr="001D6947">
              <w:rPr>
                <w:b w:val="0"/>
                <w:bCs/>
              </w:rPr>
              <w:t xml:space="preserve"> tõstmine 2023 ja 2024</w:t>
            </w:r>
            <w:r w:rsidR="003E48FC" w:rsidRPr="001D6947">
              <w:rPr>
                <w:b w:val="0"/>
                <w:bCs/>
              </w:rPr>
              <w:t xml:space="preserve"> </w:t>
            </w:r>
            <w:r w:rsidRPr="001D6947">
              <w:rPr>
                <w:b w:val="0"/>
                <w:bCs/>
              </w:rPr>
              <w:t>ning</w:t>
            </w:r>
            <w:r w:rsidR="003E48FC" w:rsidRPr="001D6947">
              <w:rPr>
                <w:b w:val="0"/>
                <w:bCs/>
              </w:rPr>
              <w:t xml:space="preserve"> </w:t>
            </w:r>
            <w:r w:rsidRPr="001D6947">
              <w:rPr>
                <w:b w:val="0"/>
                <w:bCs/>
              </w:rPr>
              <w:t>tubakavedelike</w:t>
            </w:r>
            <w:r w:rsidR="003E48FC" w:rsidRPr="001D6947">
              <w:rPr>
                <w:b w:val="0"/>
                <w:bCs/>
              </w:rPr>
              <w:t xml:space="preserve"> aktsiisi</w:t>
            </w:r>
            <w:r w:rsidRPr="001D6947">
              <w:rPr>
                <w:b w:val="0"/>
                <w:bCs/>
              </w:rPr>
              <w:t>määra</w:t>
            </w:r>
            <w:r w:rsidR="003E48FC" w:rsidRPr="001D6947">
              <w:rPr>
                <w:b w:val="0"/>
                <w:bCs/>
              </w:rPr>
              <w:t xml:space="preserve"> </w:t>
            </w:r>
            <w:r w:rsidRPr="001D6947">
              <w:rPr>
                <w:b w:val="0"/>
                <w:bCs/>
              </w:rPr>
              <w:t xml:space="preserve">5% </w:t>
            </w:r>
            <w:r w:rsidR="003E48FC" w:rsidRPr="001D6947">
              <w:rPr>
                <w:b w:val="0"/>
                <w:bCs/>
              </w:rPr>
              <w:t>tõstmine</w:t>
            </w:r>
            <w:r w:rsidRPr="001D6947">
              <w:rPr>
                <w:b w:val="0"/>
                <w:bCs/>
              </w:rPr>
              <w:t xml:space="preserve"> 2024 </w:t>
            </w:r>
          </w:p>
        </w:tc>
        <w:tc>
          <w:tcPr>
            <w:tcW w:w="1524" w:type="dxa"/>
          </w:tcPr>
          <w:p w14:paraId="61958F11" w14:textId="3CE9BEFA" w:rsidR="003E48FC" w:rsidRPr="001D6947" w:rsidRDefault="003E48FC" w:rsidP="003E48FC">
            <w:pPr>
              <w:pStyle w:val="Tabelid"/>
              <w:cnfStyle w:val="000000000000" w:firstRow="0" w:lastRow="0" w:firstColumn="0" w:lastColumn="0" w:oddVBand="0" w:evenVBand="0" w:oddHBand="0" w:evenHBand="0" w:firstRowFirstColumn="0" w:firstRowLastColumn="0" w:lastRowFirstColumn="0" w:lastRowLastColumn="0"/>
            </w:pPr>
            <w:r w:rsidRPr="001D6947">
              <w:t>01.01.2023</w:t>
            </w:r>
            <w:r w:rsidR="004C7EDA" w:rsidRPr="001D6947">
              <w:t>; 01.01.2024</w:t>
            </w:r>
          </w:p>
        </w:tc>
        <w:tc>
          <w:tcPr>
            <w:tcW w:w="1027" w:type="dxa"/>
          </w:tcPr>
          <w:p w14:paraId="419E5C9D" w14:textId="336754CB"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14,2</w:t>
            </w:r>
          </w:p>
        </w:tc>
        <w:tc>
          <w:tcPr>
            <w:tcW w:w="1418" w:type="dxa"/>
            <w:gridSpan w:val="2"/>
          </w:tcPr>
          <w:p w14:paraId="7353B9EA" w14:textId="59FA30F8" w:rsidR="003E48FC" w:rsidRPr="001D6947" w:rsidRDefault="00E5301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0,04</w:t>
            </w:r>
          </w:p>
        </w:tc>
        <w:tc>
          <w:tcPr>
            <w:tcW w:w="1073" w:type="dxa"/>
          </w:tcPr>
          <w:p w14:paraId="6E103FC4" w14:textId="5C38A6EE" w:rsidR="003E48FC"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15,4</w:t>
            </w:r>
          </w:p>
        </w:tc>
        <w:tc>
          <w:tcPr>
            <w:tcW w:w="1155" w:type="dxa"/>
          </w:tcPr>
          <w:p w14:paraId="006B227D" w14:textId="6B270517" w:rsidR="003E48FC" w:rsidRPr="001D6947" w:rsidRDefault="00E5301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0,04</w:t>
            </w:r>
          </w:p>
        </w:tc>
      </w:tr>
      <w:tr w:rsidR="003E48FC" w:rsidRPr="001D6947" w14:paraId="136AF013" w14:textId="77777777" w:rsidTr="005150BF">
        <w:trPr>
          <w:cnfStyle w:val="000000100000" w:firstRow="0" w:lastRow="0" w:firstColumn="0" w:lastColumn="0" w:oddVBand="0" w:evenVBand="0" w:oddHBand="1" w:evenHBand="0" w:firstRowFirstColumn="0" w:firstRowLastColumn="0" w:lastRowFirstColumn="0" w:lastRowLastColumn="0"/>
          <w:trHeight w:val="831"/>
        </w:trPr>
        <w:tc>
          <w:tcPr>
            <w:cnfStyle w:val="001000000000" w:firstRow="0" w:lastRow="0" w:firstColumn="1" w:lastColumn="0" w:oddVBand="0" w:evenVBand="0" w:oddHBand="0" w:evenHBand="0" w:firstRowFirstColumn="0" w:firstRowLastColumn="0" w:lastRowFirstColumn="0" w:lastRowLastColumn="0"/>
            <w:tcW w:w="3261" w:type="dxa"/>
          </w:tcPr>
          <w:p w14:paraId="6C8122FA" w14:textId="7D4F6881" w:rsidR="003E48FC" w:rsidRPr="001D6947" w:rsidRDefault="003E48FC" w:rsidP="003E48FC">
            <w:pPr>
              <w:pStyle w:val="Tabelid"/>
              <w:rPr>
                <w:b w:val="0"/>
                <w:bCs/>
              </w:rPr>
            </w:pPr>
            <w:r w:rsidRPr="001D6947">
              <w:rPr>
                <w:b w:val="0"/>
                <w:bCs/>
              </w:rPr>
              <w:t>Tubakaaktsiisi tasumise kohustuse taastamine tubakavedelikel</w:t>
            </w:r>
          </w:p>
        </w:tc>
        <w:tc>
          <w:tcPr>
            <w:tcW w:w="1524" w:type="dxa"/>
          </w:tcPr>
          <w:p w14:paraId="3127C6A5" w14:textId="57D219B0" w:rsidR="003E48FC" w:rsidRPr="001D6947" w:rsidRDefault="003E48FC" w:rsidP="003E48FC">
            <w:pPr>
              <w:pStyle w:val="Tabelid"/>
              <w:cnfStyle w:val="000000100000" w:firstRow="0" w:lastRow="0" w:firstColumn="0" w:lastColumn="0" w:oddVBand="0" w:evenVBand="0" w:oddHBand="1" w:evenHBand="0" w:firstRowFirstColumn="0" w:firstRowLastColumn="0" w:lastRowFirstColumn="0" w:lastRowLastColumn="0"/>
            </w:pPr>
            <w:r w:rsidRPr="001D6947">
              <w:t>01.01.2023</w:t>
            </w:r>
          </w:p>
        </w:tc>
        <w:tc>
          <w:tcPr>
            <w:tcW w:w="1027" w:type="dxa"/>
          </w:tcPr>
          <w:p w14:paraId="5DFC86E0" w14:textId="3AE769DC" w:rsidR="003E48FC"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6,4</w:t>
            </w:r>
          </w:p>
        </w:tc>
        <w:tc>
          <w:tcPr>
            <w:tcW w:w="1418" w:type="dxa"/>
            <w:gridSpan w:val="2"/>
          </w:tcPr>
          <w:p w14:paraId="3BCF1E89" w14:textId="08792812" w:rsidR="003E48FC" w:rsidRPr="001D6947" w:rsidRDefault="00E5301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0,02</w:t>
            </w:r>
          </w:p>
        </w:tc>
        <w:tc>
          <w:tcPr>
            <w:tcW w:w="1073" w:type="dxa"/>
          </w:tcPr>
          <w:p w14:paraId="13D33B79" w14:textId="10859025" w:rsidR="003E48FC"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7,2</w:t>
            </w:r>
          </w:p>
        </w:tc>
        <w:tc>
          <w:tcPr>
            <w:tcW w:w="1155" w:type="dxa"/>
          </w:tcPr>
          <w:p w14:paraId="299D524C" w14:textId="23774DE2" w:rsidR="003E48FC" w:rsidRPr="001D6947" w:rsidRDefault="00E5301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0,02</w:t>
            </w:r>
          </w:p>
        </w:tc>
      </w:tr>
      <w:tr w:rsidR="00406890" w:rsidRPr="001D6947" w14:paraId="69E472B8" w14:textId="77777777" w:rsidTr="005150BF">
        <w:trPr>
          <w:trHeight w:val="831"/>
        </w:trPr>
        <w:tc>
          <w:tcPr>
            <w:cnfStyle w:val="001000000000" w:firstRow="0" w:lastRow="0" w:firstColumn="1" w:lastColumn="0" w:oddVBand="0" w:evenVBand="0" w:oddHBand="0" w:evenHBand="0" w:firstRowFirstColumn="0" w:firstRowLastColumn="0" w:lastRowFirstColumn="0" w:lastRowLastColumn="0"/>
            <w:tcW w:w="3261" w:type="dxa"/>
          </w:tcPr>
          <w:p w14:paraId="4CFE1E4D" w14:textId="2D50D4D9" w:rsidR="00406890" w:rsidRPr="001D6947" w:rsidRDefault="00406890" w:rsidP="003E48FC">
            <w:pPr>
              <w:pStyle w:val="Tabelid"/>
              <w:rPr>
                <w:bCs/>
              </w:rPr>
            </w:pPr>
            <w:r w:rsidRPr="001D6947">
              <w:rPr>
                <w:b w:val="0"/>
                <w:bCs/>
              </w:rPr>
              <w:t xml:space="preserve">Alkoholi aktsiisimäärade tõstmine 5% </w:t>
            </w:r>
          </w:p>
        </w:tc>
        <w:tc>
          <w:tcPr>
            <w:tcW w:w="1524" w:type="dxa"/>
          </w:tcPr>
          <w:p w14:paraId="4BDD5965" w14:textId="20915185" w:rsidR="00406890" w:rsidRPr="001D6947" w:rsidRDefault="007B1E1B" w:rsidP="003E48FC">
            <w:pPr>
              <w:pStyle w:val="Tabelid"/>
              <w:cnfStyle w:val="000000000000" w:firstRow="0" w:lastRow="0" w:firstColumn="0" w:lastColumn="0" w:oddVBand="0" w:evenVBand="0" w:oddHBand="0" w:evenHBand="0" w:firstRowFirstColumn="0" w:firstRowLastColumn="0" w:lastRowFirstColumn="0" w:lastRowLastColumn="0"/>
            </w:pPr>
            <w:r w:rsidRPr="001D6947">
              <w:t>01.01.2024</w:t>
            </w:r>
          </w:p>
        </w:tc>
        <w:tc>
          <w:tcPr>
            <w:tcW w:w="1027" w:type="dxa"/>
          </w:tcPr>
          <w:p w14:paraId="05BB6757" w14:textId="20D6246A" w:rsidR="00406890"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17,5</w:t>
            </w:r>
          </w:p>
        </w:tc>
        <w:tc>
          <w:tcPr>
            <w:tcW w:w="1418" w:type="dxa"/>
            <w:gridSpan w:val="2"/>
          </w:tcPr>
          <w:p w14:paraId="01781A73" w14:textId="53B68386" w:rsidR="00406890" w:rsidRPr="001D6947" w:rsidRDefault="00E5301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0,05</w:t>
            </w:r>
          </w:p>
        </w:tc>
        <w:tc>
          <w:tcPr>
            <w:tcW w:w="1073" w:type="dxa"/>
          </w:tcPr>
          <w:p w14:paraId="779B56D6" w14:textId="7E337AA5" w:rsidR="00406890"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10,9</w:t>
            </w:r>
          </w:p>
        </w:tc>
        <w:tc>
          <w:tcPr>
            <w:tcW w:w="1155" w:type="dxa"/>
          </w:tcPr>
          <w:p w14:paraId="1D5F3E44" w14:textId="0004B0A1" w:rsidR="00406890" w:rsidRPr="001D6947" w:rsidRDefault="00E5301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0,03</w:t>
            </w:r>
          </w:p>
        </w:tc>
      </w:tr>
      <w:tr w:rsidR="003E48FC" w:rsidRPr="001D6947" w14:paraId="3E081997" w14:textId="77777777" w:rsidTr="005150BF">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261" w:type="dxa"/>
          </w:tcPr>
          <w:p w14:paraId="0888C0CD" w14:textId="481178A3" w:rsidR="003E48FC" w:rsidRPr="001D6947" w:rsidRDefault="003E48FC" w:rsidP="003E48FC">
            <w:pPr>
              <w:pStyle w:val="Tabelid"/>
              <w:rPr>
                <w:b w:val="0"/>
                <w:bCs/>
              </w:rPr>
            </w:pPr>
            <w:r w:rsidRPr="001D6947">
              <w:rPr>
                <w:b w:val="0"/>
                <w:bCs/>
              </w:rPr>
              <w:t>Kütuse- ja elektriaktsiisimäärade astm</w:t>
            </w:r>
            <w:r w:rsidR="006456C4" w:rsidRPr="001D6947">
              <w:rPr>
                <w:b w:val="0"/>
                <w:bCs/>
              </w:rPr>
              <w:t>e</w:t>
            </w:r>
            <w:r w:rsidRPr="001D6947">
              <w:rPr>
                <w:b w:val="0"/>
                <w:bCs/>
              </w:rPr>
              <w:t>line tõstmine 4 aasta jook</w:t>
            </w:r>
            <w:r w:rsidR="006456C4" w:rsidRPr="001D6947">
              <w:rPr>
                <w:b w:val="0"/>
                <w:bCs/>
              </w:rPr>
              <w:t>sul</w:t>
            </w:r>
            <w:r w:rsidRPr="001D6947">
              <w:rPr>
                <w:b w:val="0"/>
                <w:bCs/>
              </w:rPr>
              <w:t xml:space="preserve"> alates 2024. aasta maist </w:t>
            </w:r>
          </w:p>
        </w:tc>
        <w:tc>
          <w:tcPr>
            <w:tcW w:w="1524" w:type="dxa"/>
          </w:tcPr>
          <w:p w14:paraId="57DD7995" w14:textId="3981EDF6" w:rsidR="003E48FC" w:rsidRPr="001D6947" w:rsidRDefault="003E48FC" w:rsidP="003E48FC">
            <w:pPr>
              <w:pStyle w:val="Tabelid"/>
              <w:cnfStyle w:val="000000100000" w:firstRow="0" w:lastRow="0" w:firstColumn="0" w:lastColumn="0" w:oddVBand="0" w:evenVBand="0" w:oddHBand="1" w:evenHBand="0" w:firstRowFirstColumn="0" w:firstRowLastColumn="0" w:lastRowFirstColumn="0" w:lastRowLastColumn="0"/>
            </w:pPr>
            <w:r w:rsidRPr="001D6947">
              <w:t>01.05.2024</w:t>
            </w:r>
          </w:p>
        </w:tc>
        <w:tc>
          <w:tcPr>
            <w:tcW w:w="1027" w:type="dxa"/>
          </w:tcPr>
          <w:p w14:paraId="668E2D75" w14:textId="4892CF75"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418" w:type="dxa"/>
            <w:gridSpan w:val="2"/>
          </w:tcPr>
          <w:p w14:paraId="7772CF1F" w14:textId="432D9438"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073" w:type="dxa"/>
          </w:tcPr>
          <w:p w14:paraId="0A80CE81" w14:textId="1ADF6881" w:rsidR="003E48FC" w:rsidRPr="001D6947" w:rsidRDefault="003E48F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1</w:t>
            </w:r>
            <w:r w:rsidR="004C7EDA" w:rsidRPr="001D6947">
              <w:t>2,6</w:t>
            </w:r>
          </w:p>
        </w:tc>
        <w:tc>
          <w:tcPr>
            <w:tcW w:w="1155" w:type="dxa"/>
          </w:tcPr>
          <w:p w14:paraId="0A7ED042" w14:textId="57A22075" w:rsidR="003E48FC" w:rsidRPr="001D6947" w:rsidRDefault="00E5301C" w:rsidP="00E5301C">
            <w:pPr>
              <w:pStyle w:val="Tabelid"/>
              <w:jc w:val="right"/>
              <w:cnfStyle w:val="000000100000" w:firstRow="0" w:lastRow="0" w:firstColumn="0" w:lastColumn="0" w:oddVBand="0" w:evenVBand="0" w:oddHBand="1" w:evenHBand="0" w:firstRowFirstColumn="0" w:firstRowLastColumn="0" w:lastRowFirstColumn="0" w:lastRowLastColumn="0"/>
            </w:pPr>
            <w:r w:rsidRPr="001D6947">
              <w:t>0,03</w:t>
            </w:r>
          </w:p>
        </w:tc>
      </w:tr>
      <w:tr w:rsidR="00406890" w:rsidRPr="001D6947" w14:paraId="2D74F755" w14:textId="77777777" w:rsidTr="005150BF">
        <w:trPr>
          <w:trHeight w:val="960"/>
        </w:trPr>
        <w:tc>
          <w:tcPr>
            <w:cnfStyle w:val="001000000000" w:firstRow="0" w:lastRow="0" w:firstColumn="1" w:lastColumn="0" w:oddVBand="0" w:evenVBand="0" w:oddHBand="0" w:evenHBand="0" w:firstRowFirstColumn="0" w:firstRowLastColumn="0" w:lastRowFirstColumn="0" w:lastRowLastColumn="0"/>
            <w:tcW w:w="3261" w:type="dxa"/>
          </w:tcPr>
          <w:p w14:paraId="6FA986A3" w14:textId="49EBBE80" w:rsidR="00406890" w:rsidRPr="001D6947" w:rsidRDefault="00406890" w:rsidP="003E48FC">
            <w:pPr>
              <w:pStyle w:val="Tabelid"/>
              <w:rPr>
                <w:bCs/>
              </w:rPr>
            </w:pPr>
            <w:r w:rsidRPr="001D6947">
              <w:rPr>
                <w:b w:val="0"/>
                <w:bCs/>
              </w:rPr>
              <w:t>Käibemaksu standardmäära tõus 20%lt 22%le</w:t>
            </w:r>
          </w:p>
        </w:tc>
        <w:tc>
          <w:tcPr>
            <w:tcW w:w="1524" w:type="dxa"/>
          </w:tcPr>
          <w:p w14:paraId="559F0C48" w14:textId="047515A4" w:rsidR="00406890" w:rsidRPr="001D6947" w:rsidRDefault="00406890" w:rsidP="003E48FC">
            <w:pPr>
              <w:pStyle w:val="Tabelid"/>
              <w:cnfStyle w:val="000000000000" w:firstRow="0" w:lastRow="0" w:firstColumn="0" w:lastColumn="0" w:oddVBand="0" w:evenVBand="0" w:oddHBand="0" w:evenHBand="0" w:firstRowFirstColumn="0" w:firstRowLastColumn="0" w:lastRowFirstColumn="0" w:lastRowLastColumn="0"/>
            </w:pPr>
            <w:r w:rsidRPr="001D6947">
              <w:t>01.01.2024</w:t>
            </w:r>
          </w:p>
        </w:tc>
        <w:tc>
          <w:tcPr>
            <w:tcW w:w="1027" w:type="dxa"/>
          </w:tcPr>
          <w:p w14:paraId="51A703BE" w14:textId="77777777" w:rsidR="00406890" w:rsidRPr="001D6947" w:rsidRDefault="00406890" w:rsidP="003E48FC">
            <w:pPr>
              <w:pStyle w:val="Tabelid"/>
              <w:jc w:val="right"/>
              <w:cnfStyle w:val="000000000000" w:firstRow="0" w:lastRow="0" w:firstColumn="0" w:lastColumn="0" w:oddVBand="0" w:evenVBand="0" w:oddHBand="0" w:evenHBand="0" w:firstRowFirstColumn="0" w:firstRowLastColumn="0" w:lastRowFirstColumn="0" w:lastRowLastColumn="0"/>
            </w:pPr>
          </w:p>
        </w:tc>
        <w:tc>
          <w:tcPr>
            <w:tcW w:w="1418" w:type="dxa"/>
            <w:gridSpan w:val="2"/>
          </w:tcPr>
          <w:p w14:paraId="0F4764D8" w14:textId="77777777" w:rsidR="00406890" w:rsidRPr="001D6947" w:rsidRDefault="00406890" w:rsidP="003E48FC">
            <w:pPr>
              <w:pStyle w:val="Tabelid"/>
              <w:jc w:val="right"/>
              <w:cnfStyle w:val="000000000000" w:firstRow="0" w:lastRow="0" w:firstColumn="0" w:lastColumn="0" w:oddVBand="0" w:evenVBand="0" w:oddHBand="0" w:evenHBand="0" w:firstRowFirstColumn="0" w:firstRowLastColumn="0" w:lastRowFirstColumn="0" w:lastRowLastColumn="0"/>
            </w:pPr>
          </w:p>
        </w:tc>
        <w:tc>
          <w:tcPr>
            <w:tcW w:w="1073" w:type="dxa"/>
          </w:tcPr>
          <w:p w14:paraId="40F47D9F" w14:textId="73D3772C" w:rsidR="00406890" w:rsidRPr="001D6947" w:rsidRDefault="004C7EDA"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235,0</w:t>
            </w:r>
          </w:p>
        </w:tc>
        <w:tc>
          <w:tcPr>
            <w:tcW w:w="1155" w:type="dxa"/>
          </w:tcPr>
          <w:p w14:paraId="7E841DB7" w14:textId="6F033433" w:rsidR="00406890" w:rsidRPr="001D6947" w:rsidRDefault="00E5301C" w:rsidP="003E48FC">
            <w:pPr>
              <w:pStyle w:val="Tabelid"/>
              <w:jc w:val="right"/>
              <w:cnfStyle w:val="000000000000" w:firstRow="0" w:lastRow="0" w:firstColumn="0" w:lastColumn="0" w:oddVBand="0" w:evenVBand="0" w:oddHBand="0" w:evenHBand="0" w:firstRowFirstColumn="0" w:firstRowLastColumn="0" w:lastRowFirstColumn="0" w:lastRowLastColumn="0"/>
            </w:pPr>
            <w:r w:rsidRPr="001D6947">
              <w:t>0,57</w:t>
            </w:r>
          </w:p>
        </w:tc>
      </w:tr>
      <w:tr w:rsidR="00406890" w:rsidRPr="001D6947" w14:paraId="72FB217E" w14:textId="77777777" w:rsidTr="005150BF">
        <w:trPr>
          <w:cnfStyle w:val="000000100000" w:firstRow="0" w:lastRow="0" w:firstColumn="0" w:lastColumn="0" w:oddVBand="0" w:evenVBand="0" w:oddHBand="1" w:evenHBand="0" w:firstRowFirstColumn="0" w:firstRowLastColumn="0" w:lastRowFirstColumn="0" w:lastRowLastColumn="0"/>
          <w:trHeight w:val="960"/>
        </w:trPr>
        <w:tc>
          <w:tcPr>
            <w:cnfStyle w:val="001000000000" w:firstRow="0" w:lastRow="0" w:firstColumn="1" w:lastColumn="0" w:oddVBand="0" w:evenVBand="0" w:oddHBand="0" w:evenHBand="0" w:firstRowFirstColumn="0" w:firstRowLastColumn="0" w:lastRowFirstColumn="0" w:lastRowLastColumn="0"/>
            <w:tcW w:w="3261" w:type="dxa"/>
          </w:tcPr>
          <w:p w14:paraId="4B9B24C4" w14:textId="5EB67230" w:rsidR="00406890" w:rsidRPr="001D6947" w:rsidRDefault="00406890" w:rsidP="003E48FC">
            <w:pPr>
              <w:pStyle w:val="Tabelid"/>
              <w:rPr>
                <w:b w:val="0"/>
                <w:bCs/>
              </w:rPr>
            </w:pPr>
            <w:r w:rsidRPr="001D6947">
              <w:rPr>
                <w:b w:val="0"/>
                <w:bCs/>
              </w:rPr>
              <w:t>Hasartmängumaksu maksumäärade tõusud</w:t>
            </w:r>
          </w:p>
        </w:tc>
        <w:tc>
          <w:tcPr>
            <w:tcW w:w="1524" w:type="dxa"/>
          </w:tcPr>
          <w:p w14:paraId="19DE4B06" w14:textId="47D192C6" w:rsidR="00406890" w:rsidRPr="001D6947" w:rsidRDefault="00406890" w:rsidP="003E48FC">
            <w:pPr>
              <w:pStyle w:val="Tabelid"/>
              <w:cnfStyle w:val="000000100000" w:firstRow="0" w:lastRow="0" w:firstColumn="0" w:lastColumn="0" w:oddVBand="0" w:evenVBand="0" w:oddHBand="1" w:evenHBand="0" w:firstRowFirstColumn="0" w:firstRowLastColumn="0" w:lastRowFirstColumn="0" w:lastRowLastColumn="0"/>
            </w:pPr>
            <w:r w:rsidRPr="001D6947">
              <w:t>01.01.2024</w:t>
            </w:r>
          </w:p>
        </w:tc>
        <w:tc>
          <w:tcPr>
            <w:tcW w:w="1027" w:type="dxa"/>
          </w:tcPr>
          <w:p w14:paraId="7FF0D428" w14:textId="77777777" w:rsidR="00406890" w:rsidRPr="001D6947" w:rsidRDefault="00406890"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418" w:type="dxa"/>
            <w:gridSpan w:val="2"/>
          </w:tcPr>
          <w:p w14:paraId="5507FE76" w14:textId="77777777" w:rsidR="00406890" w:rsidRPr="001D6947" w:rsidRDefault="00406890" w:rsidP="003E48FC">
            <w:pPr>
              <w:pStyle w:val="Tabelid"/>
              <w:jc w:val="right"/>
              <w:cnfStyle w:val="000000100000" w:firstRow="0" w:lastRow="0" w:firstColumn="0" w:lastColumn="0" w:oddVBand="0" w:evenVBand="0" w:oddHBand="1" w:evenHBand="0" w:firstRowFirstColumn="0" w:firstRowLastColumn="0" w:lastRowFirstColumn="0" w:lastRowLastColumn="0"/>
            </w:pPr>
          </w:p>
        </w:tc>
        <w:tc>
          <w:tcPr>
            <w:tcW w:w="1073" w:type="dxa"/>
          </w:tcPr>
          <w:p w14:paraId="2EB9DF7E" w14:textId="47F3E3B3" w:rsidR="00406890" w:rsidRPr="001D6947" w:rsidRDefault="004C7EDA"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8,3</w:t>
            </w:r>
          </w:p>
        </w:tc>
        <w:tc>
          <w:tcPr>
            <w:tcW w:w="1155" w:type="dxa"/>
          </w:tcPr>
          <w:p w14:paraId="2BBFAA75" w14:textId="21ACCD92" w:rsidR="00406890" w:rsidRPr="001D6947" w:rsidRDefault="00E5301C" w:rsidP="003E48FC">
            <w:pPr>
              <w:pStyle w:val="Tabelid"/>
              <w:jc w:val="right"/>
              <w:cnfStyle w:val="000000100000" w:firstRow="0" w:lastRow="0" w:firstColumn="0" w:lastColumn="0" w:oddVBand="0" w:evenVBand="0" w:oddHBand="1" w:evenHBand="0" w:firstRowFirstColumn="0" w:firstRowLastColumn="0" w:lastRowFirstColumn="0" w:lastRowLastColumn="0"/>
            </w:pPr>
            <w:r w:rsidRPr="001D6947">
              <w:t>0,02</w:t>
            </w:r>
          </w:p>
        </w:tc>
      </w:tr>
    </w:tbl>
    <w:p w14:paraId="3BC16261" w14:textId="0A9F4E8A" w:rsidR="00831AD9" w:rsidRPr="004C7EDA" w:rsidRDefault="00831AD9" w:rsidP="00831AD9">
      <w:pPr>
        <w:pStyle w:val="Phitekst"/>
        <w:rPr>
          <w:rStyle w:val="MrkusChar"/>
        </w:rPr>
      </w:pPr>
      <w:r w:rsidRPr="001D6947">
        <w:t xml:space="preserve">* </w:t>
      </w:r>
      <w:r w:rsidRPr="001D6947">
        <w:rPr>
          <w:rStyle w:val="MrkusChar"/>
        </w:rPr>
        <w:t>Tekkepõhine mõju võrreldes sellega, kui kehtiks 31.12.20</w:t>
      </w:r>
      <w:r w:rsidR="00275A5E" w:rsidRPr="001D6947">
        <w:rPr>
          <w:rStyle w:val="MrkusChar"/>
        </w:rPr>
        <w:t>2</w:t>
      </w:r>
      <w:r w:rsidR="003E48FC" w:rsidRPr="001D6947">
        <w:rPr>
          <w:rStyle w:val="MrkusChar"/>
        </w:rPr>
        <w:t>2</w:t>
      </w:r>
      <w:r w:rsidRPr="001D6947">
        <w:rPr>
          <w:rStyle w:val="MrkusChar"/>
        </w:rPr>
        <w:t xml:space="preserve"> määrad/olukord.</w:t>
      </w:r>
    </w:p>
    <w:p w14:paraId="3710182F" w14:textId="05E96357" w:rsidR="00AB2C28" w:rsidRPr="004C7EDA" w:rsidRDefault="00AB2C28" w:rsidP="00831AD9">
      <w:pPr>
        <w:pStyle w:val="Phitekst"/>
        <w:rPr>
          <w:rStyle w:val="MrkusChar"/>
        </w:rPr>
      </w:pPr>
    </w:p>
    <w:p w14:paraId="6594ABC3" w14:textId="7CDC77C9" w:rsidR="00AB2C28" w:rsidRPr="004C7EDA" w:rsidRDefault="00AB2C28" w:rsidP="00831AD9">
      <w:pPr>
        <w:pStyle w:val="Phitekst"/>
        <w:rPr>
          <w:rStyle w:val="MrkusChar"/>
        </w:rPr>
      </w:pPr>
    </w:p>
    <w:p w14:paraId="30EC62D7" w14:textId="77989FA7" w:rsidR="00AB2C28" w:rsidRPr="00414819" w:rsidRDefault="00AB2C28" w:rsidP="00831AD9">
      <w:pPr>
        <w:pStyle w:val="Phitekst"/>
        <w:rPr>
          <w:rStyle w:val="MrkusChar"/>
          <w:highlight w:val="yellow"/>
        </w:rPr>
      </w:pPr>
    </w:p>
    <w:p w14:paraId="3531C9CC" w14:textId="75E9E888" w:rsidR="00AB2C28" w:rsidRPr="00414819" w:rsidRDefault="00AB2C28" w:rsidP="00831AD9">
      <w:pPr>
        <w:pStyle w:val="Phitekst"/>
        <w:rPr>
          <w:rStyle w:val="MrkusChar"/>
          <w:highlight w:val="yellow"/>
        </w:rPr>
      </w:pPr>
    </w:p>
    <w:p w14:paraId="298A9FCB" w14:textId="65EB6115" w:rsidR="00AB2C28" w:rsidRPr="00414819" w:rsidRDefault="00AB2C28" w:rsidP="00831AD9">
      <w:pPr>
        <w:pStyle w:val="Phitekst"/>
        <w:rPr>
          <w:rStyle w:val="MrkusChar"/>
          <w:highlight w:val="yellow"/>
        </w:rPr>
      </w:pPr>
    </w:p>
    <w:p w14:paraId="11F855CC" w14:textId="70EE0E8D" w:rsidR="00AB2C28" w:rsidRPr="00414819" w:rsidRDefault="00AB2C28" w:rsidP="00831AD9">
      <w:pPr>
        <w:pStyle w:val="Phitekst"/>
        <w:rPr>
          <w:rStyle w:val="MrkusChar"/>
          <w:highlight w:val="yellow"/>
        </w:rPr>
      </w:pPr>
    </w:p>
    <w:p w14:paraId="77B12F41" w14:textId="5FD90647" w:rsidR="00AB2C28" w:rsidRPr="00414819" w:rsidRDefault="00AB2C28" w:rsidP="00831AD9">
      <w:pPr>
        <w:pStyle w:val="Phitekst"/>
        <w:rPr>
          <w:rStyle w:val="MrkusChar"/>
          <w:highlight w:val="yellow"/>
        </w:rPr>
      </w:pPr>
    </w:p>
    <w:p w14:paraId="23D2C0C4" w14:textId="5AE0E4C8" w:rsidR="00962D18" w:rsidRPr="00414819" w:rsidRDefault="00962D18">
      <w:pPr>
        <w:rPr>
          <w:rStyle w:val="MrkusChar"/>
          <w:highlight w:val="yellow"/>
        </w:rPr>
      </w:pPr>
      <w:r w:rsidRPr="00414819">
        <w:rPr>
          <w:rStyle w:val="MrkusChar"/>
          <w:highlight w:val="yellow"/>
        </w:rPr>
        <w:br w:type="page"/>
      </w:r>
    </w:p>
    <w:p w14:paraId="00B5A6B9" w14:textId="77777777" w:rsidR="00AB2C28" w:rsidRPr="002E75C2" w:rsidRDefault="00AB2C28" w:rsidP="00831AD9">
      <w:pPr>
        <w:pStyle w:val="Phitekst"/>
        <w:rPr>
          <w:rStyle w:val="MrkusChar"/>
        </w:rPr>
      </w:pPr>
    </w:p>
    <w:p w14:paraId="733515D4" w14:textId="758B5F2F" w:rsidR="00AB2C28" w:rsidRPr="001D6947" w:rsidRDefault="00AB2C28" w:rsidP="00EF2257">
      <w:pPr>
        <w:pStyle w:val="Caption"/>
      </w:pPr>
      <w:bookmarkStart w:id="274" w:name="_Ref511054503"/>
      <w:bookmarkStart w:id="275" w:name="_Toc511055582"/>
      <w:bookmarkStart w:id="276" w:name="_Toc511056826"/>
      <w:bookmarkStart w:id="277" w:name="_Toc4502678"/>
      <w:bookmarkStart w:id="278" w:name="_Toc82084251"/>
      <w:bookmarkStart w:id="279" w:name="_Toc143775559"/>
      <w:r w:rsidRPr="001D6947">
        <w:t xml:space="preserve">Tabel </w:t>
      </w:r>
      <w:r w:rsidR="004C0EAE">
        <w:fldChar w:fldCharType="begin"/>
      </w:r>
      <w:r w:rsidR="004C0EAE">
        <w:instrText xml:space="preserve"> SEQ Tabel \* ARABIC </w:instrText>
      </w:r>
      <w:r w:rsidR="004C0EAE">
        <w:fldChar w:fldCharType="separate"/>
      </w:r>
      <w:r w:rsidR="00D84B51">
        <w:rPr>
          <w:noProof/>
        </w:rPr>
        <w:t>18</w:t>
      </w:r>
      <w:r w:rsidR="004C0EAE">
        <w:rPr>
          <w:noProof/>
        </w:rPr>
        <w:fldChar w:fldCharType="end"/>
      </w:r>
      <w:bookmarkEnd w:id="274"/>
      <w:r w:rsidRPr="001D6947">
        <w:t>. Maksukulud riigieelarves aastatel 202</w:t>
      </w:r>
      <w:r w:rsidR="006456C4" w:rsidRPr="001D6947">
        <w:t>2</w:t>
      </w:r>
      <w:r w:rsidRPr="001D6947">
        <w:t>-20</w:t>
      </w:r>
      <w:bookmarkEnd w:id="275"/>
      <w:bookmarkEnd w:id="276"/>
      <w:r w:rsidRPr="001D6947">
        <w:t>2</w:t>
      </w:r>
      <w:r w:rsidR="006456C4" w:rsidRPr="001D6947">
        <w:t>4</w:t>
      </w:r>
      <w:r w:rsidRPr="001D6947">
        <w:t xml:space="preserve"> (mln eurot)</w:t>
      </w:r>
      <w:bookmarkEnd w:id="277"/>
      <w:bookmarkEnd w:id="278"/>
      <w:bookmarkEnd w:id="279"/>
    </w:p>
    <w:tbl>
      <w:tblPr>
        <w:tblStyle w:val="TableSubtle1"/>
        <w:tblW w:w="10348" w:type="dxa"/>
        <w:tblLook w:val="04A0" w:firstRow="1" w:lastRow="0" w:firstColumn="1" w:lastColumn="0" w:noHBand="0" w:noVBand="1"/>
      </w:tblPr>
      <w:tblGrid>
        <w:gridCol w:w="656"/>
        <w:gridCol w:w="4128"/>
        <w:gridCol w:w="1409"/>
        <w:gridCol w:w="1622"/>
        <w:gridCol w:w="832"/>
        <w:gridCol w:w="851"/>
        <w:gridCol w:w="850"/>
      </w:tblGrid>
      <w:tr w:rsidR="00AB2C28" w:rsidRPr="001D6947" w14:paraId="08F3D73F" w14:textId="77777777" w:rsidTr="00CE40BB">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56935D27" w14:textId="77777777" w:rsidR="00AB2C28" w:rsidRPr="001D6947" w:rsidRDefault="00AB2C28" w:rsidP="00AB2C28">
            <w:pPr>
              <w:spacing w:after="0"/>
              <w:rPr>
                <w:rFonts w:eastAsia="Calibri" w:cs="Segoe UI Light"/>
                <w:sz w:val="20"/>
                <w:szCs w:val="18"/>
                <w:lang w:eastAsia="et-EE"/>
              </w:rPr>
            </w:pPr>
          </w:p>
        </w:tc>
        <w:tc>
          <w:tcPr>
            <w:tcW w:w="4128" w:type="dxa"/>
          </w:tcPr>
          <w:p w14:paraId="6E6973D0" w14:textId="77777777" w:rsidR="00AB2C28" w:rsidRPr="001D6947" w:rsidRDefault="00AB2C28" w:rsidP="002B6B57">
            <w:pPr>
              <w:pStyle w:val="Tabelid"/>
              <w:cnfStyle w:val="100000000000" w:firstRow="1" w:lastRow="0" w:firstColumn="0" w:lastColumn="0" w:oddVBand="0" w:evenVBand="0" w:oddHBand="0" w:evenHBand="0" w:firstRowFirstColumn="0" w:firstRowLastColumn="0" w:lastRowFirstColumn="0" w:lastRowLastColumn="0"/>
            </w:pPr>
            <w:r w:rsidRPr="001D6947">
              <w:t>Maksukulu</w:t>
            </w:r>
          </w:p>
        </w:tc>
        <w:tc>
          <w:tcPr>
            <w:tcW w:w="1409" w:type="dxa"/>
          </w:tcPr>
          <w:p w14:paraId="5E8CD9D0" w14:textId="77777777" w:rsidR="00AB2C28" w:rsidRPr="001D6947" w:rsidRDefault="00AB2C28" w:rsidP="002B6B57">
            <w:pPr>
              <w:pStyle w:val="Tabelid"/>
              <w:cnfStyle w:val="100000000000" w:firstRow="1" w:lastRow="0" w:firstColumn="0" w:lastColumn="0" w:oddVBand="0" w:evenVBand="0" w:oddHBand="0" w:evenHBand="0" w:firstRowFirstColumn="0" w:firstRowLastColumn="0" w:lastRowFirstColumn="0" w:lastRowLastColumn="0"/>
            </w:pPr>
            <w:r w:rsidRPr="001D6947">
              <w:t>Säte</w:t>
            </w:r>
          </w:p>
        </w:tc>
        <w:tc>
          <w:tcPr>
            <w:tcW w:w="1622" w:type="dxa"/>
          </w:tcPr>
          <w:p w14:paraId="5C8CE617" w14:textId="77777777" w:rsidR="00AB2C28" w:rsidRPr="001D6947" w:rsidRDefault="00AB2C28" w:rsidP="002B6B57">
            <w:pPr>
              <w:pStyle w:val="Tabelid"/>
              <w:cnfStyle w:val="100000000000" w:firstRow="1" w:lastRow="0" w:firstColumn="0" w:lastColumn="0" w:oddVBand="0" w:evenVBand="0" w:oddHBand="0" w:evenHBand="0" w:firstRowFirstColumn="0" w:firstRowLastColumn="0" w:lastRowFirstColumn="0" w:lastRowLastColumn="0"/>
            </w:pPr>
            <w:r w:rsidRPr="001D6947">
              <w:t>Valitsemis-funktsioon</w:t>
            </w:r>
            <w:r w:rsidRPr="001D6947">
              <w:rPr>
                <w:vertAlign w:val="superscript"/>
              </w:rPr>
              <w:endnoteReference w:id="12"/>
            </w:r>
          </w:p>
        </w:tc>
        <w:tc>
          <w:tcPr>
            <w:tcW w:w="832" w:type="dxa"/>
          </w:tcPr>
          <w:p w14:paraId="2463DEEB" w14:textId="04E89CF3" w:rsidR="00AB2C28" w:rsidRPr="001D6947" w:rsidRDefault="00AB2C28" w:rsidP="002B6B57">
            <w:pPr>
              <w:pStyle w:val="Tabelid"/>
              <w:cnfStyle w:val="100000000000" w:firstRow="1" w:lastRow="0" w:firstColumn="0" w:lastColumn="0" w:oddVBand="0" w:evenVBand="0" w:oddHBand="0" w:evenHBand="0" w:firstRowFirstColumn="0" w:firstRowLastColumn="0" w:lastRowFirstColumn="0" w:lastRowLastColumn="0"/>
            </w:pPr>
            <w:r w:rsidRPr="001D6947">
              <w:t>202</w:t>
            </w:r>
            <w:r w:rsidR="006456C4" w:rsidRPr="001D6947">
              <w:t>2</w:t>
            </w:r>
          </w:p>
        </w:tc>
        <w:tc>
          <w:tcPr>
            <w:tcW w:w="851" w:type="dxa"/>
          </w:tcPr>
          <w:p w14:paraId="1A1217B3" w14:textId="4040413C" w:rsidR="00AB2C28" w:rsidRPr="001D6947" w:rsidRDefault="00CE40BB" w:rsidP="002B6B57">
            <w:pPr>
              <w:pStyle w:val="Tabelid"/>
              <w:cnfStyle w:val="100000000000" w:firstRow="1" w:lastRow="0" w:firstColumn="0" w:lastColumn="0" w:oddVBand="0" w:evenVBand="0" w:oddHBand="0" w:evenHBand="0" w:firstRowFirstColumn="0" w:firstRowLastColumn="0" w:lastRowFirstColumn="0" w:lastRowLastColumn="0"/>
            </w:pPr>
            <w:r w:rsidRPr="001D6947">
              <w:t>202</w:t>
            </w:r>
            <w:r w:rsidR="006456C4" w:rsidRPr="001D6947">
              <w:t>3</w:t>
            </w:r>
          </w:p>
        </w:tc>
        <w:tc>
          <w:tcPr>
            <w:tcW w:w="850" w:type="dxa"/>
          </w:tcPr>
          <w:p w14:paraId="266B99B1" w14:textId="0FB9768C" w:rsidR="00AB2C28" w:rsidRPr="001D6947" w:rsidRDefault="00AB2C28" w:rsidP="002B6B57">
            <w:pPr>
              <w:pStyle w:val="Tabelid"/>
              <w:cnfStyle w:val="100000000000" w:firstRow="1" w:lastRow="0" w:firstColumn="0" w:lastColumn="0" w:oddVBand="0" w:evenVBand="0" w:oddHBand="0" w:evenHBand="0" w:firstRowFirstColumn="0" w:firstRowLastColumn="0" w:lastRowFirstColumn="0" w:lastRowLastColumn="0"/>
            </w:pPr>
            <w:r w:rsidRPr="001D6947">
              <w:t>202</w:t>
            </w:r>
            <w:r w:rsidR="006456C4" w:rsidRPr="001D6947">
              <w:t>4</w:t>
            </w:r>
          </w:p>
        </w:tc>
      </w:tr>
      <w:tr w:rsidR="006456C4" w:rsidRPr="001D6947" w14:paraId="372AE10B"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0D954B5B" w14:textId="77777777" w:rsidR="006456C4" w:rsidRPr="001D6947" w:rsidRDefault="006456C4" w:rsidP="006456C4">
            <w:pPr>
              <w:spacing w:after="0"/>
              <w:rPr>
                <w:rFonts w:eastAsia="Calibri" w:cs="Segoe UI Light"/>
                <w:b w:val="0"/>
                <w:sz w:val="20"/>
                <w:szCs w:val="20"/>
                <w:lang w:eastAsia="et-EE"/>
              </w:rPr>
            </w:pPr>
          </w:p>
        </w:tc>
        <w:tc>
          <w:tcPr>
            <w:tcW w:w="4128" w:type="dxa"/>
          </w:tcPr>
          <w:p w14:paraId="33788FC4" w14:textId="77777777" w:rsidR="006456C4" w:rsidRPr="002B6B57" w:rsidRDefault="006456C4" w:rsidP="002B6B57">
            <w:pPr>
              <w:pStyle w:val="Tabelid"/>
              <w:cnfStyle w:val="000000100000" w:firstRow="0" w:lastRow="0" w:firstColumn="0" w:lastColumn="0" w:oddVBand="0" w:evenVBand="0" w:oddHBand="1" w:evenHBand="0" w:firstRowFirstColumn="0" w:firstRowLastColumn="0" w:lastRowFirstColumn="0" w:lastRowLastColumn="0"/>
              <w:rPr>
                <w:b/>
                <w:bCs/>
              </w:rPr>
            </w:pPr>
            <w:r w:rsidRPr="002B6B57">
              <w:rPr>
                <w:b/>
                <w:bCs/>
              </w:rPr>
              <w:t>KOKKU</w:t>
            </w:r>
          </w:p>
        </w:tc>
        <w:tc>
          <w:tcPr>
            <w:tcW w:w="1409" w:type="dxa"/>
          </w:tcPr>
          <w:p w14:paraId="33302467" w14:textId="77777777" w:rsidR="006456C4" w:rsidRPr="001D6947" w:rsidRDefault="006456C4" w:rsidP="006456C4">
            <w:pPr>
              <w:spacing w:after="0"/>
              <w:cnfStyle w:val="000000100000" w:firstRow="0" w:lastRow="0" w:firstColumn="0" w:lastColumn="0" w:oddVBand="0" w:evenVBand="0" w:oddHBand="1" w:evenHBand="0" w:firstRowFirstColumn="0" w:firstRowLastColumn="0" w:lastRowFirstColumn="0" w:lastRowLastColumn="0"/>
              <w:rPr>
                <w:rFonts w:eastAsia="Calibri" w:cs="Segoe UI Light"/>
                <w:b/>
                <w:bCs/>
                <w:sz w:val="20"/>
                <w:szCs w:val="18"/>
                <w:lang w:eastAsia="et-EE"/>
              </w:rPr>
            </w:pPr>
            <w:r w:rsidRPr="001D6947">
              <w:rPr>
                <w:rFonts w:eastAsia="Calibri" w:cs="Segoe UI Light"/>
                <w:b/>
                <w:bCs/>
                <w:color w:val="000000"/>
                <w:sz w:val="20"/>
                <w:szCs w:val="18"/>
                <w:lang w:eastAsia="et-EE"/>
              </w:rPr>
              <w:t> </w:t>
            </w:r>
          </w:p>
        </w:tc>
        <w:tc>
          <w:tcPr>
            <w:tcW w:w="1622" w:type="dxa"/>
          </w:tcPr>
          <w:p w14:paraId="58F140DC" w14:textId="77777777" w:rsidR="006456C4" w:rsidRPr="001D6947" w:rsidRDefault="006456C4" w:rsidP="006456C4">
            <w:pPr>
              <w:spacing w:after="0"/>
              <w:cnfStyle w:val="000000100000" w:firstRow="0" w:lastRow="0" w:firstColumn="0" w:lastColumn="0" w:oddVBand="0" w:evenVBand="0" w:oddHBand="1" w:evenHBand="0" w:firstRowFirstColumn="0" w:firstRowLastColumn="0" w:lastRowFirstColumn="0" w:lastRowLastColumn="0"/>
              <w:rPr>
                <w:rFonts w:eastAsia="Calibri" w:cs="Segoe UI Light"/>
                <w:b/>
                <w:bCs/>
                <w:sz w:val="20"/>
                <w:szCs w:val="18"/>
                <w:lang w:eastAsia="et-EE"/>
              </w:rPr>
            </w:pPr>
          </w:p>
        </w:tc>
        <w:tc>
          <w:tcPr>
            <w:tcW w:w="832" w:type="dxa"/>
          </w:tcPr>
          <w:p w14:paraId="3A520FAA" w14:textId="2507A4DB" w:rsidR="006456C4" w:rsidRPr="002B6B5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2B6B57">
              <w:rPr>
                <w:b/>
                <w:bCs/>
              </w:rPr>
              <w:t>343,2</w:t>
            </w:r>
          </w:p>
        </w:tc>
        <w:tc>
          <w:tcPr>
            <w:tcW w:w="851" w:type="dxa"/>
          </w:tcPr>
          <w:p w14:paraId="538058AC" w14:textId="65A59F80" w:rsidR="006456C4" w:rsidRPr="002B6B5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2B6B57">
              <w:rPr>
                <w:b/>
                <w:bCs/>
              </w:rPr>
              <w:t>424,2</w:t>
            </w:r>
          </w:p>
        </w:tc>
        <w:tc>
          <w:tcPr>
            <w:tcW w:w="850" w:type="dxa"/>
          </w:tcPr>
          <w:p w14:paraId="792FBB21" w14:textId="389C8710" w:rsidR="006456C4" w:rsidRPr="002B6B5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rPr>
                <w:b/>
                <w:bCs/>
              </w:rPr>
            </w:pPr>
            <w:r w:rsidRPr="002B6B57">
              <w:rPr>
                <w:b/>
                <w:bCs/>
              </w:rPr>
              <w:t>505,8</w:t>
            </w:r>
          </w:p>
        </w:tc>
      </w:tr>
      <w:tr w:rsidR="006456C4" w:rsidRPr="001D6947" w14:paraId="5B1B15C6" w14:textId="77777777" w:rsidTr="00CE40BB">
        <w:trPr>
          <w:trHeight w:val="215"/>
        </w:trPr>
        <w:tc>
          <w:tcPr>
            <w:cnfStyle w:val="001000000000" w:firstRow="0" w:lastRow="0" w:firstColumn="1" w:lastColumn="0" w:oddVBand="0" w:evenVBand="0" w:oddHBand="0" w:evenHBand="0" w:firstRowFirstColumn="0" w:firstRowLastColumn="0" w:lastRowFirstColumn="0" w:lastRowLastColumn="0"/>
            <w:tcW w:w="656" w:type="dxa"/>
          </w:tcPr>
          <w:p w14:paraId="1071C001" w14:textId="618C7573" w:rsidR="006456C4" w:rsidRPr="001D6947" w:rsidRDefault="006456C4" w:rsidP="002B6B57">
            <w:pPr>
              <w:pStyle w:val="Tabelid"/>
              <w:rPr>
                <w:rFonts w:eastAsia="Calibri"/>
                <w:b w:val="0"/>
              </w:rPr>
            </w:pPr>
            <w:r w:rsidRPr="001D6947">
              <w:t>1.</w:t>
            </w:r>
          </w:p>
        </w:tc>
        <w:tc>
          <w:tcPr>
            <w:tcW w:w="4128" w:type="dxa"/>
          </w:tcPr>
          <w:p w14:paraId="76DF9172" w14:textId="31A03BD8"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
                <w:bCs/>
              </w:rPr>
            </w:pPr>
            <w:r w:rsidRPr="001D6947">
              <w:t>Käibemaksumäär 9% raamatud ja õppekirjandus</w:t>
            </w:r>
          </w:p>
        </w:tc>
        <w:tc>
          <w:tcPr>
            <w:tcW w:w="1409" w:type="dxa"/>
          </w:tcPr>
          <w:p w14:paraId="79DBAD42" w14:textId="48AF6335"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
                <w:bCs/>
                <w:color w:val="000000"/>
              </w:rPr>
            </w:pPr>
            <w:r w:rsidRPr="001D6947">
              <w:t xml:space="preserve">KMS §15 lg 2 p 1 </w:t>
            </w:r>
          </w:p>
        </w:tc>
        <w:tc>
          <w:tcPr>
            <w:tcW w:w="1622" w:type="dxa"/>
          </w:tcPr>
          <w:p w14:paraId="7B92BE13" w14:textId="0B7DB61C"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
                <w:bCs/>
              </w:rPr>
            </w:pPr>
            <w:r w:rsidRPr="001D6947">
              <w:t>haridus</w:t>
            </w:r>
          </w:p>
        </w:tc>
        <w:tc>
          <w:tcPr>
            <w:tcW w:w="832" w:type="dxa"/>
          </w:tcPr>
          <w:p w14:paraId="4792DDE8" w14:textId="389FBA85" w:rsidR="006456C4" w:rsidRPr="001D6947" w:rsidRDefault="004C6862"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4,8</w:t>
            </w:r>
          </w:p>
        </w:tc>
        <w:tc>
          <w:tcPr>
            <w:tcW w:w="851" w:type="dxa"/>
          </w:tcPr>
          <w:p w14:paraId="6857E29F" w14:textId="4A942307" w:rsidR="006456C4" w:rsidRPr="001D6947" w:rsidRDefault="004C6862"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8,7</w:t>
            </w:r>
          </w:p>
        </w:tc>
        <w:tc>
          <w:tcPr>
            <w:tcW w:w="850" w:type="dxa"/>
          </w:tcPr>
          <w:p w14:paraId="0E9DE9B2" w14:textId="0710FA2F"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10,</w:t>
            </w:r>
            <w:r w:rsidR="004C6862" w:rsidRPr="001D6947">
              <w:t>0</w:t>
            </w:r>
          </w:p>
        </w:tc>
      </w:tr>
      <w:tr w:rsidR="006456C4" w:rsidRPr="001D6947" w14:paraId="38E9273A"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4A4B0D2E" w14:textId="77777777" w:rsidR="006456C4" w:rsidRPr="001D6947" w:rsidRDefault="006456C4" w:rsidP="002B6B57">
            <w:pPr>
              <w:pStyle w:val="Tabelid"/>
            </w:pPr>
          </w:p>
        </w:tc>
        <w:tc>
          <w:tcPr>
            <w:tcW w:w="4128" w:type="dxa"/>
          </w:tcPr>
          <w:p w14:paraId="3C45881C" w14:textId="19239543"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r w:rsidRPr="001D6947">
              <w:t>Käibemaksumäär 9% raamatutele, töövihikutele, perioodikale ja digiväljaannetele</w:t>
            </w:r>
          </w:p>
        </w:tc>
        <w:tc>
          <w:tcPr>
            <w:tcW w:w="1409" w:type="dxa"/>
          </w:tcPr>
          <w:p w14:paraId="52837150" w14:textId="206B6744"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r w:rsidRPr="001D6947">
              <w:t>KMS §15 lg 2 p 1,3</w:t>
            </w:r>
          </w:p>
        </w:tc>
        <w:tc>
          <w:tcPr>
            <w:tcW w:w="1622" w:type="dxa"/>
          </w:tcPr>
          <w:p w14:paraId="179EED6C" w14:textId="77777777"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p>
        </w:tc>
        <w:tc>
          <w:tcPr>
            <w:tcW w:w="832" w:type="dxa"/>
          </w:tcPr>
          <w:p w14:paraId="4706F62A" w14:textId="07F3980A" w:rsidR="006456C4" w:rsidRPr="001D6947" w:rsidRDefault="004C6862"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4,5</w:t>
            </w:r>
          </w:p>
        </w:tc>
        <w:tc>
          <w:tcPr>
            <w:tcW w:w="851" w:type="dxa"/>
          </w:tcPr>
          <w:p w14:paraId="711E905B" w14:textId="77777777"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850" w:type="dxa"/>
          </w:tcPr>
          <w:p w14:paraId="3C94F0DD" w14:textId="77777777"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p>
        </w:tc>
      </w:tr>
      <w:tr w:rsidR="006456C4" w:rsidRPr="001D6947" w14:paraId="430340E4" w14:textId="77777777" w:rsidTr="00CE40BB">
        <w:trPr>
          <w:trHeight w:val="215"/>
        </w:trPr>
        <w:tc>
          <w:tcPr>
            <w:cnfStyle w:val="001000000000" w:firstRow="0" w:lastRow="0" w:firstColumn="1" w:lastColumn="0" w:oddVBand="0" w:evenVBand="0" w:oddHBand="0" w:evenHBand="0" w:firstRowFirstColumn="0" w:firstRowLastColumn="0" w:lastRowFirstColumn="0" w:lastRowLastColumn="0"/>
            <w:tcW w:w="656" w:type="dxa"/>
          </w:tcPr>
          <w:p w14:paraId="3B9683C1" w14:textId="7C6BEF33" w:rsidR="006456C4" w:rsidRPr="001D6947" w:rsidRDefault="006456C4" w:rsidP="002B6B57">
            <w:pPr>
              <w:pStyle w:val="Tabelid"/>
              <w:rPr>
                <w:rFonts w:eastAsia="Calibri"/>
                <w:b w:val="0"/>
              </w:rPr>
            </w:pPr>
            <w:r w:rsidRPr="001D6947">
              <w:t>2.</w:t>
            </w:r>
          </w:p>
        </w:tc>
        <w:tc>
          <w:tcPr>
            <w:tcW w:w="4128" w:type="dxa"/>
          </w:tcPr>
          <w:p w14:paraId="18494FC5" w14:textId="68D8F95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
                <w:bCs/>
              </w:rPr>
            </w:pPr>
            <w:r w:rsidRPr="001D6947">
              <w:t>Käibemaksumäär 5% ajakirjandusväljaanded</w:t>
            </w:r>
          </w:p>
        </w:tc>
        <w:tc>
          <w:tcPr>
            <w:tcW w:w="1409" w:type="dxa"/>
          </w:tcPr>
          <w:p w14:paraId="4F85E513" w14:textId="595AA5B3"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
                <w:bCs/>
                <w:color w:val="000000"/>
              </w:rPr>
            </w:pPr>
            <w:r w:rsidRPr="001D6947">
              <w:t>KMS § 15 lõige 2¹</w:t>
            </w:r>
          </w:p>
        </w:tc>
        <w:tc>
          <w:tcPr>
            <w:tcW w:w="1622" w:type="dxa"/>
          </w:tcPr>
          <w:p w14:paraId="5EB1DFB2" w14:textId="0593B120"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
                <w:bCs/>
              </w:rPr>
            </w:pPr>
            <w:r w:rsidRPr="001D6947">
              <w:t>vaba aeg, kultuur ja religioon</w:t>
            </w:r>
          </w:p>
        </w:tc>
        <w:tc>
          <w:tcPr>
            <w:tcW w:w="832" w:type="dxa"/>
          </w:tcPr>
          <w:p w14:paraId="68DF88AD" w14:textId="7B905592"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2,</w:t>
            </w:r>
            <w:r w:rsidR="004C6862" w:rsidRPr="001D6947">
              <w:t>3</w:t>
            </w:r>
          </w:p>
        </w:tc>
        <w:tc>
          <w:tcPr>
            <w:tcW w:w="851" w:type="dxa"/>
          </w:tcPr>
          <w:p w14:paraId="628B4CF5" w14:textId="6B146F41" w:rsidR="006456C4" w:rsidRPr="001D6947" w:rsidRDefault="004C6862"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5,1</w:t>
            </w:r>
          </w:p>
        </w:tc>
        <w:tc>
          <w:tcPr>
            <w:tcW w:w="850" w:type="dxa"/>
          </w:tcPr>
          <w:p w14:paraId="1514335D" w14:textId="548300BA" w:rsidR="006456C4" w:rsidRPr="001D6947" w:rsidRDefault="004C6862"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6,1</w:t>
            </w:r>
          </w:p>
        </w:tc>
      </w:tr>
      <w:tr w:rsidR="006456C4" w:rsidRPr="001D6947" w14:paraId="31CEFCD5"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3B8F0EDD" w14:textId="314968AB" w:rsidR="006456C4" w:rsidRPr="001D6947" w:rsidRDefault="006456C4" w:rsidP="002B6B57">
            <w:pPr>
              <w:pStyle w:val="Tabelid"/>
              <w:rPr>
                <w:rFonts w:eastAsia="Calibri"/>
                <w:b w:val="0"/>
              </w:rPr>
            </w:pPr>
            <w:r w:rsidRPr="001D6947">
              <w:t>3.</w:t>
            </w:r>
          </w:p>
        </w:tc>
        <w:tc>
          <w:tcPr>
            <w:tcW w:w="4128" w:type="dxa"/>
          </w:tcPr>
          <w:p w14:paraId="7A3A1790" w14:textId="1CC6A2EE"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
                <w:bCs/>
              </w:rPr>
            </w:pPr>
            <w:r w:rsidRPr="001D6947">
              <w:t>Käibemaksumäär 9% ravimitele ja meditsiiniseadmetele</w:t>
            </w:r>
          </w:p>
        </w:tc>
        <w:tc>
          <w:tcPr>
            <w:tcW w:w="1409" w:type="dxa"/>
          </w:tcPr>
          <w:p w14:paraId="21A6E301" w14:textId="0DFEDE16"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
                <w:bCs/>
                <w:color w:val="000000"/>
              </w:rPr>
            </w:pPr>
            <w:r w:rsidRPr="001D6947">
              <w:t>KMS §15 lg 2 p 2</w:t>
            </w:r>
          </w:p>
        </w:tc>
        <w:tc>
          <w:tcPr>
            <w:tcW w:w="1622" w:type="dxa"/>
          </w:tcPr>
          <w:p w14:paraId="1A5F623A" w14:textId="059AB415"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
                <w:bCs/>
              </w:rPr>
            </w:pPr>
            <w:r w:rsidRPr="001D6947">
              <w:t>tervishoid</w:t>
            </w:r>
          </w:p>
        </w:tc>
        <w:tc>
          <w:tcPr>
            <w:tcW w:w="832" w:type="dxa"/>
          </w:tcPr>
          <w:p w14:paraId="5847FBC6" w14:textId="07172783"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80,6</w:t>
            </w:r>
          </w:p>
        </w:tc>
        <w:tc>
          <w:tcPr>
            <w:tcW w:w="851" w:type="dxa"/>
          </w:tcPr>
          <w:p w14:paraId="5C92B751" w14:textId="2D449991"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8</w:t>
            </w:r>
            <w:r w:rsidR="004C6862" w:rsidRPr="001D6947">
              <w:t>5,2</w:t>
            </w:r>
          </w:p>
        </w:tc>
        <w:tc>
          <w:tcPr>
            <w:tcW w:w="850" w:type="dxa"/>
          </w:tcPr>
          <w:p w14:paraId="038F76D8" w14:textId="523DBD50" w:rsidR="006456C4" w:rsidRPr="001D6947" w:rsidRDefault="004C6862"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103,3</w:t>
            </w:r>
          </w:p>
        </w:tc>
      </w:tr>
      <w:tr w:rsidR="006456C4" w:rsidRPr="001D6947" w14:paraId="66EC59FB"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030826CF" w14:textId="2747D1AD" w:rsidR="006456C4" w:rsidRPr="001D6947" w:rsidRDefault="006456C4" w:rsidP="002B6B57">
            <w:pPr>
              <w:pStyle w:val="Tabelid"/>
              <w:rPr>
                <w:rFonts w:eastAsia="Calibri"/>
              </w:rPr>
            </w:pPr>
            <w:r w:rsidRPr="001D6947">
              <w:t>4.</w:t>
            </w:r>
          </w:p>
        </w:tc>
        <w:tc>
          <w:tcPr>
            <w:tcW w:w="4128" w:type="dxa"/>
          </w:tcPr>
          <w:p w14:paraId="6AC5956F" w14:textId="190CB349"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color w:val="000000"/>
              </w:rPr>
            </w:pPr>
            <w:r w:rsidRPr="001D6947">
              <w:t xml:space="preserve">Käibemaksumäär 9% majutusteenustele </w:t>
            </w:r>
          </w:p>
        </w:tc>
        <w:tc>
          <w:tcPr>
            <w:tcW w:w="1409" w:type="dxa"/>
          </w:tcPr>
          <w:p w14:paraId="3902B30C" w14:textId="3494B8C6"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rPr>
            </w:pPr>
            <w:r w:rsidRPr="001D6947">
              <w:t>KMS §15 lg 2 p 4</w:t>
            </w:r>
          </w:p>
        </w:tc>
        <w:tc>
          <w:tcPr>
            <w:tcW w:w="1622" w:type="dxa"/>
          </w:tcPr>
          <w:p w14:paraId="379B972C" w14:textId="23ACBA9F"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rPr>
            </w:pPr>
            <w:r w:rsidRPr="001D6947">
              <w:t>vaba aeg, kultuur ja religioon</w:t>
            </w:r>
          </w:p>
        </w:tc>
        <w:tc>
          <w:tcPr>
            <w:tcW w:w="832" w:type="dxa"/>
          </w:tcPr>
          <w:p w14:paraId="67033538" w14:textId="3B603CF9" w:rsidR="006456C4" w:rsidRPr="001D6947" w:rsidRDefault="004C6862"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27,8</w:t>
            </w:r>
          </w:p>
        </w:tc>
        <w:tc>
          <w:tcPr>
            <w:tcW w:w="851" w:type="dxa"/>
          </w:tcPr>
          <w:p w14:paraId="2C6ABC27" w14:textId="06B57269"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29,4</w:t>
            </w:r>
          </w:p>
        </w:tc>
        <w:tc>
          <w:tcPr>
            <w:tcW w:w="850" w:type="dxa"/>
          </w:tcPr>
          <w:p w14:paraId="011D9511" w14:textId="292F681A"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3</w:t>
            </w:r>
            <w:r w:rsidR="002E75C2" w:rsidRPr="001D6947">
              <w:t>5,6</w:t>
            </w:r>
          </w:p>
        </w:tc>
      </w:tr>
      <w:tr w:rsidR="006456C4" w:rsidRPr="001D6947" w14:paraId="7C58425F" w14:textId="77777777" w:rsidTr="00CE40BB">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656" w:type="dxa"/>
          </w:tcPr>
          <w:p w14:paraId="1444E3DB" w14:textId="00FE8A67" w:rsidR="006456C4" w:rsidRPr="001D6947" w:rsidRDefault="006456C4" w:rsidP="002B6B57">
            <w:pPr>
              <w:pStyle w:val="Tabelid"/>
              <w:rPr>
                <w:rFonts w:eastAsia="Calibri"/>
              </w:rPr>
            </w:pPr>
            <w:r w:rsidRPr="001D6947">
              <w:t>5.</w:t>
            </w:r>
          </w:p>
        </w:tc>
        <w:tc>
          <w:tcPr>
            <w:tcW w:w="4128" w:type="dxa"/>
          </w:tcPr>
          <w:p w14:paraId="31E5F631" w14:textId="0C125636"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rPr>
            </w:pPr>
            <w:r w:rsidRPr="001D6947">
              <w:t>Osaliselt või täielikult tasumata arvetega seotud käibemaksuarvestuse korra muudatus</w:t>
            </w:r>
          </w:p>
        </w:tc>
        <w:tc>
          <w:tcPr>
            <w:tcW w:w="1409" w:type="dxa"/>
          </w:tcPr>
          <w:p w14:paraId="5E228107" w14:textId="66E25A9E"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rPr>
            </w:pPr>
            <w:r w:rsidRPr="001D6947">
              <w:t>KMS § 29 lõige 14</w:t>
            </w:r>
            <w:r w:rsidRPr="001D6947">
              <w:rPr>
                <w:vertAlign w:val="superscript"/>
              </w:rPr>
              <w:t>1</w:t>
            </w:r>
          </w:p>
        </w:tc>
        <w:tc>
          <w:tcPr>
            <w:tcW w:w="1622" w:type="dxa"/>
          </w:tcPr>
          <w:p w14:paraId="6CBCD177" w14:textId="0D651F79"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rPr>
            </w:pPr>
            <w:r w:rsidRPr="001D6947">
              <w:t>majandus</w:t>
            </w:r>
          </w:p>
        </w:tc>
        <w:tc>
          <w:tcPr>
            <w:tcW w:w="832" w:type="dxa"/>
          </w:tcPr>
          <w:p w14:paraId="22BCBFF6" w14:textId="40C639BD"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851" w:type="dxa"/>
          </w:tcPr>
          <w:p w14:paraId="276A6993" w14:textId="25E020D0" w:rsidR="006456C4" w:rsidRPr="001D694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2,4</w:t>
            </w:r>
          </w:p>
        </w:tc>
        <w:tc>
          <w:tcPr>
            <w:tcW w:w="850" w:type="dxa"/>
          </w:tcPr>
          <w:p w14:paraId="3E1D126A" w14:textId="02A524EC" w:rsidR="006456C4" w:rsidRPr="001D694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2,6</w:t>
            </w:r>
          </w:p>
        </w:tc>
      </w:tr>
      <w:tr w:rsidR="006456C4" w:rsidRPr="001D6947" w14:paraId="768ADFB0"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60F73CDB" w14:textId="4D2C9FF9" w:rsidR="006456C4" w:rsidRPr="001D6947" w:rsidRDefault="006456C4" w:rsidP="002B6B57">
            <w:pPr>
              <w:pStyle w:val="Tabelid"/>
              <w:rPr>
                <w:rFonts w:eastAsia="Calibri"/>
              </w:rPr>
            </w:pPr>
            <w:r w:rsidRPr="001D6947">
              <w:t>6.</w:t>
            </w:r>
          </w:p>
        </w:tc>
        <w:tc>
          <w:tcPr>
            <w:tcW w:w="4128" w:type="dxa"/>
          </w:tcPr>
          <w:p w14:paraId="07E691A0" w14:textId="34E5F7ED"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Regulaarselt jaotatava kasumi madalam maksumäär 14%</w:t>
            </w:r>
          </w:p>
        </w:tc>
        <w:tc>
          <w:tcPr>
            <w:tcW w:w="1409" w:type="dxa"/>
          </w:tcPr>
          <w:p w14:paraId="336D6877" w14:textId="577EDD40"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TMS §4 lg 5</w:t>
            </w:r>
          </w:p>
        </w:tc>
        <w:tc>
          <w:tcPr>
            <w:tcW w:w="1622" w:type="dxa"/>
          </w:tcPr>
          <w:p w14:paraId="074D5FB2" w14:textId="0A0624E3"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3E5CE790" w14:textId="77BBB97C"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63,7</w:t>
            </w:r>
          </w:p>
        </w:tc>
        <w:tc>
          <w:tcPr>
            <w:tcW w:w="851" w:type="dxa"/>
          </w:tcPr>
          <w:p w14:paraId="791D3986" w14:textId="1C5FF323"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70</w:t>
            </w:r>
            <w:r w:rsidR="002E75C2" w:rsidRPr="001D6947">
              <w:t>,5</w:t>
            </w:r>
          </w:p>
        </w:tc>
        <w:tc>
          <w:tcPr>
            <w:tcW w:w="850" w:type="dxa"/>
          </w:tcPr>
          <w:p w14:paraId="0D2C4620" w14:textId="6B7C232B"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rPr>
                <w:bCs/>
              </w:rPr>
              <w:t>81,1</w:t>
            </w:r>
          </w:p>
        </w:tc>
      </w:tr>
      <w:tr w:rsidR="006456C4" w:rsidRPr="001D6947" w14:paraId="75F10035" w14:textId="77777777" w:rsidTr="00CE40BB">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656" w:type="dxa"/>
          </w:tcPr>
          <w:p w14:paraId="48B44744" w14:textId="1A8BBC2E" w:rsidR="006456C4" w:rsidRPr="001D6947" w:rsidRDefault="006456C4" w:rsidP="002B6B57">
            <w:pPr>
              <w:pStyle w:val="Tabelid"/>
              <w:rPr>
                <w:rFonts w:eastAsia="Calibri"/>
              </w:rPr>
            </w:pPr>
            <w:r w:rsidRPr="001D6947">
              <w:t>7.</w:t>
            </w:r>
          </w:p>
        </w:tc>
        <w:tc>
          <w:tcPr>
            <w:tcW w:w="4128" w:type="dxa"/>
          </w:tcPr>
          <w:p w14:paraId="471EDDEF" w14:textId="42ED7BB0"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Täiendav maksuvaba tulu alates teisest lapsest</w:t>
            </w:r>
          </w:p>
        </w:tc>
        <w:tc>
          <w:tcPr>
            <w:tcW w:w="1409" w:type="dxa"/>
          </w:tcPr>
          <w:p w14:paraId="0634F8B0" w14:textId="2EB0E31A"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TMS §23¹</w:t>
            </w:r>
          </w:p>
        </w:tc>
        <w:tc>
          <w:tcPr>
            <w:tcW w:w="1622" w:type="dxa"/>
          </w:tcPr>
          <w:p w14:paraId="393529C4" w14:textId="089070C0"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 xml:space="preserve"> sotsiaalne kaitse</w:t>
            </w:r>
          </w:p>
        </w:tc>
        <w:tc>
          <w:tcPr>
            <w:tcW w:w="832" w:type="dxa"/>
          </w:tcPr>
          <w:p w14:paraId="47901606" w14:textId="275DEBBC"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31,4</w:t>
            </w:r>
          </w:p>
        </w:tc>
        <w:tc>
          <w:tcPr>
            <w:tcW w:w="851" w:type="dxa"/>
          </w:tcPr>
          <w:p w14:paraId="12F220AD" w14:textId="528151E5"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3</w:t>
            </w:r>
            <w:r w:rsidR="002E75C2" w:rsidRPr="001D6947">
              <w:t>1,3</w:t>
            </w:r>
          </w:p>
        </w:tc>
        <w:tc>
          <w:tcPr>
            <w:tcW w:w="850" w:type="dxa"/>
          </w:tcPr>
          <w:p w14:paraId="7DA9CB81" w14:textId="0D94799D"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3</w:t>
            </w:r>
            <w:r w:rsidR="002E75C2" w:rsidRPr="001D6947">
              <w:t>2,4</w:t>
            </w:r>
          </w:p>
        </w:tc>
      </w:tr>
      <w:tr w:rsidR="006456C4" w:rsidRPr="001D6947" w14:paraId="38BDD465"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39A1E445" w14:textId="1EFA1A79" w:rsidR="006456C4" w:rsidRPr="001D6947" w:rsidRDefault="006456C4" w:rsidP="002B6B57">
            <w:pPr>
              <w:pStyle w:val="Tabelid"/>
              <w:rPr>
                <w:rFonts w:eastAsia="Calibri"/>
              </w:rPr>
            </w:pPr>
            <w:r w:rsidRPr="001D6947">
              <w:t>8.</w:t>
            </w:r>
          </w:p>
        </w:tc>
        <w:tc>
          <w:tcPr>
            <w:tcW w:w="4128" w:type="dxa"/>
          </w:tcPr>
          <w:p w14:paraId="12BEFE04" w14:textId="6E648023"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Täiendav maksuvaba tulu abikaasa eest</w:t>
            </w:r>
          </w:p>
        </w:tc>
        <w:tc>
          <w:tcPr>
            <w:tcW w:w="1409" w:type="dxa"/>
          </w:tcPr>
          <w:p w14:paraId="442395DA" w14:textId="0BB33913"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TMS §234</w:t>
            </w:r>
          </w:p>
        </w:tc>
        <w:tc>
          <w:tcPr>
            <w:tcW w:w="1622" w:type="dxa"/>
          </w:tcPr>
          <w:p w14:paraId="2438A117" w14:textId="48895E90"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 xml:space="preserve"> sotsiaalne kaitse</w:t>
            </w:r>
          </w:p>
        </w:tc>
        <w:tc>
          <w:tcPr>
            <w:tcW w:w="832" w:type="dxa"/>
          </w:tcPr>
          <w:p w14:paraId="2B88C17A" w14:textId="672C33F6"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6,9</w:t>
            </w:r>
          </w:p>
        </w:tc>
        <w:tc>
          <w:tcPr>
            <w:tcW w:w="851" w:type="dxa"/>
          </w:tcPr>
          <w:p w14:paraId="37FDE668" w14:textId="1E5D276F"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rPr>
                <w:bCs/>
              </w:rPr>
              <w:t>7,3</w:t>
            </w:r>
          </w:p>
        </w:tc>
        <w:tc>
          <w:tcPr>
            <w:tcW w:w="850" w:type="dxa"/>
          </w:tcPr>
          <w:p w14:paraId="38734228" w14:textId="23646740"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rPr>
                <w:bCs/>
              </w:rPr>
              <w:t>7,3</w:t>
            </w:r>
          </w:p>
        </w:tc>
      </w:tr>
      <w:tr w:rsidR="006456C4" w:rsidRPr="001D6947" w14:paraId="5827B737" w14:textId="77777777" w:rsidTr="00CE40BB">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656" w:type="dxa"/>
          </w:tcPr>
          <w:p w14:paraId="6589F4B1" w14:textId="08A60A72" w:rsidR="006456C4" w:rsidRPr="001D6947" w:rsidRDefault="006456C4" w:rsidP="002B6B57">
            <w:pPr>
              <w:pStyle w:val="Tabelid"/>
              <w:rPr>
                <w:rFonts w:eastAsia="Calibri"/>
              </w:rPr>
            </w:pPr>
            <w:r w:rsidRPr="001D6947">
              <w:t>9.</w:t>
            </w:r>
          </w:p>
        </w:tc>
        <w:tc>
          <w:tcPr>
            <w:tcW w:w="4128" w:type="dxa"/>
          </w:tcPr>
          <w:p w14:paraId="787D0782" w14:textId="03F75FEF"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Maksuvaba tulu vanaduspensionieas</w:t>
            </w:r>
          </w:p>
        </w:tc>
        <w:tc>
          <w:tcPr>
            <w:tcW w:w="1409" w:type="dxa"/>
          </w:tcPr>
          <w:p w14:paraId="6F9604ED" w14:textId="5A6C175B"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vertAlign w:val="superscript"/>
              </w:rPr>
            </w:pPr>
            <w:r w:rsidRPr="001D6947">
              <w:t>TMS §23</w:t>
            </w:r>
            <w:r w:rsidRPr="001D6947">
              <w:rPr>
                <w:vertAlign w:val="superscript"/>
              </w:rPr>
              <w:t>5</w:t>
            </w:r>
          </w:p>
        </w:tc>
        <w:tc>
          <w:tcPr>
            <w:tcW w:w="1622" w:type="dxa"/>
          </w:tcPr>
          <w:p w14:paraId="6947FE4B" w14:textId="357A91E0"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 xml:space="preserve"> sotsiaalne kaitse</w:t>
            </w:r>
          </w:p>
        </w:tc>
        <w:tc>
          <w:tcPr>
            <w:tcW w:w="832" w:type="dxa"/>
          </w:tcPr>
          <w:p w14:paraId="09F36961" w14:textId="482B309F"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p>
        </w:tc>
        <w:tc>
          <w:tcPr>
            <w:tcW w:w="851" w:type="dxa"/>
          </w:tcPr>
          <w:p w14:paraId="315C7FF3" w14:textId="56BF6944"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5</w:t>
            </w:r>
            <w:r w:rsidR="002E75C2" w:rsidRPr="001D6947">
              <w:t>6</w:t>
            </w:r>
            <w:r w:rsidRPr="001D6947">
              <w:t>,</w:t>
            </w:r>
            <w:r w:rsidR="002E75C2" w:rsidRPr="001D6947">
              <w:t>4</w:t>
            </w:r>
          </w:p>
        </w:tc>
        <w:tc>
          <w:tcPr>
            <w:tcW w:w="850" w:type="dxa"/>
          </w:tcPr>
          <w:p w14:paraId="5A1E5174" w14:textId="0D1AF3E3" w:rsidR="006456C4" w:rsidRPr="001D694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rPr>
                <w:bCs/>
              </w:rPr>
              <w:t>94,8</w:t>
            </w:r>
          </w:p>
        </w:tc>
      </w:tr>
      <w:tr w:rsidR="006456C4" w:rsidRPr="001D6947" w14:paraId="3878D676" w14:textId="77777777" w:rsidTr="007F25A1">
        <w:trPr>
          <w:trHeight w:val="410"/>
        </w:trPr>
        <w:tc>
          <w:tcPr>
            <w:cnfStyle w:val="001000000000" w:firstRow="0" w:lastRow="0" w:firstColumn="1" w:lastColumn="0" w:oddVBand="0" w:evenVBand="0" w:oddHBand="0" w:evenHBand="0" w:firstRowFirstColumn="0" w:firstRowLastColumn="0" w:lastRowFirstColumn="0" w:lastRowLastColumn="0"/>
            <w:tcW w:w="656" w:type="dxa"/>
          </w:tcPr>
          <w:p w14:paraId="06AC9E4A" w14:textId="4F6F6ECF" w:rsidR="006456C4" w:rsidRPr="001D6947" w:rsidRDefault="006456C4" w:rsidP="002B6B57">
            <w:pPr>
              <w:pStyle w:val="Tabelid"/>
              <w:rPr>
                <w:rFonts w:eastAsia="Calibri"/>
              </w:rPr>
            </w:pPr>
            <w:r w:rsidRPr="001D6947">
              <w:t>10.</w:t>
            </w:r>
          </w:p>
        </w:tc>
        <w:tc>
          <w:tcPr>
            <w:tcW w:w="4128" w:type="dxa"/>
          </w:tcPr>
          <w:p w14:paraId="2741202D" w14:textId="0B65584F"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Eluasemelaenu intresside mahaarvamine</w:t>
            </w:r>
          </w:p>
        </w:tc>
        <w:tc>
          <w:tcPr>
            <w:tcW w:w="1409" w:type="dxa"/>
          </w:tcPr>
          <w:p w14:paraId="087C2708" w14:textId="05A4641C"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TMS §25</w:t>
            </w:r>
          </w:p>
        </w:tc>
        <w:tc>
          <w:tcPr>
            <w:tcW w:w="1622" w:type="dxa"/>
          </w:tcPr>
          <w:p w14:paraId="1DF218BA" w14:textId="57FFC011"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elamu- ja kommunaalehitus</w:t>
            </w:r>
          </w:p>
        </w:tc>
        <w:tc>
          <w:tcPr>
            <w:tcW w:w="832" w:type="dxa"/>
          </w:tcPr>
          <w:p w14:paraId="6BAB6199" w14:textId="6BB68233"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6,3</w:t>
            </w:r>
          </w:p>
        </w:tc>
        <w:tc>
          <w:tcPr>
            <w:tcW w:w="851" w:type="dxa"/>
          </w:tcPr>
          <w:p w14:paraId="18327E6B" w14:textId="397AC726"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rPr>
                <w:bCs/>
              </w:rPr>
              <w:t>7,5</w:t>
            </w:r>
          </w:p>
        </w:tc>
        <w:tc>
          <w:tcPr>
            <w:tcW w:w="850" w:type="dxa"/>
          </w:tcPr>
          <w:p w14:paraId="28CC161B" w14:textId="7A61BBD5"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rPr>
                <w:bCs/>
              </w:rPr>
              <w:t>7,5</w:t>
            </w:r>
          </w:p>
        </w:tc>
      </w:tr>
      <w:tr w:rsidR="006456C4" w:rsidRPr="001D6947" w14:paraId="36C06F28"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42251ECB" w14:textId="32612B95" w:rsidR="006456C4" w:rsidRPr="001D6947" w:rsidRDefault="006456C4" w:rsidP="002B6B57">
            <w:pPr>
              <w:pStyle w:val="Tabelid"/>
              <w:rPr>
                <w:rFonts w:eastAsia="Calibri"/>
              </w:rPr>
            </w:pPr>
            <w:r w:rsidRPr="001D6947">
              <w:t>11.</w:t>
            </w:r>
          </w:p>
        </w:tc>
        <w:tc>
          <w:tcPr>
            <w:tcW w:w="4128" w:type="dxa"/>
          </w:tcPr>
          <w:p w14:paraId="251B248B" w14:textId="74B22618"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Koolituskulude mahaarvamine</w:t>
            </w:r>
          </w:p>
        </w:tc>
        <w:tc>
          <w:tcPr>
            <w:tcW w:w="1409" w:type="dxa"/>
          </w:tcPr>
          <w:p w14:paraId="1D55B753" w14:textId="605A4481"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TMS §26</w:t>
            </w:r>
          </w:p>
        </w:tc>
        <w:tc>
          <w:tcPr>
            <w:tcW w:w="1622" w:type="dxa"/>
          </w:tcPr>
          <w:p w14:paraId="7C66A1EC" w14:textId="464987D6"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haridus</w:t>
            </w:r>
          </w:p>
        </w:tc>
        <w:tc>
          <w:tcPr>
            <w:tcW w:w="832" w:type="dxa"/>
          </w:tcPr>
          <w:p w14:paraId="085ED279" w14:textId="68AE3176"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13,</w:t>
            </w:r>
            <w:r w:rsidR="002E75C2" w:rsidRPr="001D6947">
              <w:t>6</w:t>
            </w:r>
          </w:p>
        </w:tc>
        <w:tc>
          <w:tcPr>
            <w:tcW w:w="851" w:type="dxa"/>
          </w:tcPr>
          <w:p w14:paraId="38BD29A0" w14:textId="6A5D8010"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w:t>
            </w:r>
            <w:r w:rsidR="002E75C2" w:rsidRPr="001D6947">
              <w:t>5,4</w:t>
            </w:r>
          </w:p>
        </w:tc>
        <w:tc>
          <w:tcPr>
            <w:tcW w:w="850" w:type="dxa"/>
          </w:tcPr>
          <w:p w14:paraId="4BF2A568" w14:textId="3F23EDA2"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17,</w:t>
            </w:r>
            <w:r w:rsidR="002E75C2" w:rsidRPr="001D6947">
              <w:t>2</w:t>
            </w:r>
          </w:p>
        </w:tc>
      </w:tr>
      <w:tr w:rsidR="006456C4" w:rsidRPr="001D6947" w14:paraId="1854318F" w14:textId="77777777" w:rsidTr="00CE40BB">
        <w:trPr>
          <w:trHeight w:val="215"/>
        </w:trPr>
        <w:tc>
          <w:tcPr>
            <w:cnfStyle w:val="001000000000" w:firstRow="0" w:lastRow="0" w:firstColumn="1" w:lastColumn="0" w:oddVBand="0" w:evenVBand="0" w:oddHBand="0" w:evenHBand="0" w:firstRowFirstColumn="0" w:firstRowLastColumn="0" w:lastRowFirstColumn="0" w:lastRowLastColumn="0"/>
            <w:tcW w:w="656" w:type="dxa"/>
          </w:tcPr>
          <w:p w14:paraId="0EC83FBE" w14:textId="0C418AD8" w:rsidR="006456C4" w:rsidRPr="001D6947" w:rsidRDefault="006456C4" w:rsidP="002B6B57">
            <w:pPr>
              <w:pStyle w:val="Tabelid"/>
              <w:rPr>
                <w:rFonts w:eastAsia="Calibri"/>
              </w:rPr>
            </w:pPr>
            <w:r w:rsidRPr="001D6947">
              <w:t>12.</w:t>
            </w:r>
          </w:p>
        </w:tc>
        <w:tc>
          <w:tcPr>
            <w:tcW w:w="4128" w:type="dxa"/>
          </w:tcPr>
          <w:p w14:paraId="33420B74" w14:textId="62AD4BD5"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Kingitused ja annetused</w:t>
            </w:r>
          </w:p>
        </w:tc>
        <w:tc>
          <w:tcPr>
            <w:tcW w:w="1409" w:type="dxa"/>
          </w:tcPr>
          <w:p w14:paraId="07BE3A29" w14:textId="55132DF1"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TMS §27 lg 1, 2, 3, 6</w:t>
            </w:r>
          </w:p>
        </w:tc>
        <w:tc>
          <w:tcPr>
            <w:tcW w:w="1622" w:type="dxa"/>
          </w:tcPr>
          <w:p w14:paraId="27C9E248" w14:textId="4B9412EF"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vaba aeg, kultuur ja religioon</w:t>
            </w:r>
          </w:p>
        </w:tc>
        <w:tc>
          <w:tcPr>
            <w:tcW w:w="832" w:type="dxa"/>
          </w:tcPr>
          <w:p w14:paraId="06FA9E28" w14:textId="7FB85A59"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3,0</w:t>
            </w:r>
          </w:p>
        </w:tc>
        <w:tc>
          <w:tcPr>
            <w:tcW w:w="851" w:type="dxa"/>
          </w:tcPr>
          <w:p w14:paraId="0322CABB" w14:textId="6447A75A"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4</w:t>
            </w:r>
            <w:r w:rsidR="006456C4" w:rsidRPr="001D6947">
              <w:t>,3</w:t>
            </w:r>
          </w:p>
        </w:tc>
        <w:tc>
          <w:tcPr>
            <w:tcW w:w="850" w:type="dxa"/>
          </w:tcPr>
          <w:p w14:paraId="57920845" w14:textId="36A008F4" w:rsidR="006456C4" w:rsidRPr="001D6947" w:rsidRDefault="002E75C2"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4</w:t>
            </w:r>
            <w:r w:rsidR="006456C4" w:rsidRPr="001D6947">
              <w:t>,</w:t>
            </w:r>
            <w:r w:rsidRPr="001D6947">
              <w:t>6</w:t>
            </w:r>
          </w:p>
        </w:tc>
      </w:tr>
      <w:tr w:rsidR="006456C4" w:rsidRPr="001D6947" w14:paraId="6CECBAE0" w14:textId="77777777" w:rsidTr="00CE40B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56" w:type="dxa"/>
          </w:tcPr>
          <w:p w14:paraId="70FE0367" w14:textId="6C3BD844" w:rsidR="006456C4" w:rsidRPr="001D6947" w:rsidRDefault="006456C4" w:rsidP="002B6B57">
            <w:pPr>
              <w:pStyle w:val="Tabelid"/>
              <w:rPr>
                <w:rFonts w:eastAsia="Calibri"/>
              </w:rPr>
            </w:pPr>
            <w:r w:rsidRPr="001D6947">
              <w:t>13.</w:t>
            </w:r>
          </w:p>
        </w:tc>
        <w:tc>
          <w:tcPr>
            <w:tcW w:w="4128" w:type="dxa"/>
          </w:tcPr>
          <w:p w14:paraId="5BD5790F" w14:textId="49F98BFE"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Kindlustusmaksed ning pensionifondi osakute soetamine</w:t>
            </w:r>
          </w:p>
        </w:tc>
        <w:tc>
          <w:tcPr>
            <w:tcW w:w="1409" w:type="dxa"/>
          </w:tcPr>
          <w:p w14:paraId="27920AFE" w14:textId="4CDB4113"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TMS §28</w:t>
            </w:r>
          </w:p>
        </w:tc>
        <w:tc>
          <w:tcPr>
            <w:tcW w:w="1622" w:type="dxa"/>
          </w:tcPr>
          <w:p w14:paraId="28BC843F" w14:textId="7ACAD96D"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 xml:space="preserve"> sotsiaalne kaitse</w:t>
            </w:r>
          </w:p>
        </w:tc>
        <w:tc>
          <w:tcPr>
            <w:tcW w:w="832" w:type="dxa"/>
          </w:tcPr>
          <w:p w14:paraId="632A33C9" w14:textId="0E034F71"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16,1</w:t>
            </w:r>
          </w:p>
        </w:tc>
        <w:tc>
          <w:tcPr>
            <w:tcW w:w="851" w:type="dxa"/>
          </w:tcPr>
          <w:p w14:paraId="5DD0B3D6" w14:textId="30927049"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w:t>
            </w:r>
            <w:r w:rsidR="002E75C2" w:rsidRPr="001D6947">
              <w:t>8,4</w:t>
            </w:r>
          </w:p>
        </w:tc>
        <w:tc>
          <w:tcPr>
            <w:tcW w:w="850" w:type="dxa"/>
          </w:tcPr>
          <w:p w14:paraId="65118A1F" w14:textId="5823F6A7"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w:t>
            </w:r>
            <w:r w:rsidR="002E75C2" w:rsidRPr="001D6947">
              <w:t>9,7</w:t>
            </w:r>
          </w:p>
        </w:tc>
      </w:tr>
      <w:tr w:rsidR="006456C4" w:rsidRPr="001D6947" w14:paraId="7A85EE4D" w14:textId="77777777" w:rsidTr="00CE40BB">
        <w:trPr>
          <w:trHeight w:val="358"/>
        </w:trPr>
        <w:tc>
          <w:tcPr>
            <w:cnfStyle w:val="001000000000" w:firstRow="0" w:lastRow="0" w:firstColumn="1" w:lastColumn="0" w:oddVBand="0" w:evenVBand="0" w:oddHBand="0" w:evenHBand="0" w:firstRowFirstColumn="0" w:firstRowLastColumn="0" w:lastRowFirstColumn="0" w:lastRowLastColumn="0"/>
            <w:tcW w:w="656" w:type="dxa"/>
          </w:tcPr>
          <w:p w14:paraId="50CA07A1" w14:textId="3167E9B0" w:rsidR="006456C4" w:rsidRPr="001D6947" w:rsidRDefault="006456C4" w:rsidP="002B6B57">
            <w:pPr>
              <w:pStyle w:val="Tabelid"/>
              <w:rPr>
                <w:rFonts w:eastAsia="Calibri"/>
              </w:rPr>
            </w:pPr>
            <w:r w:rsidRPr="001D6947">
              <w:t>14.</w:t>
            </w:r>
          </w:p>
        </w:tc>
        <w:tc>
          <w:tcPr>
            <w:tcW w:w="4128" w:type="dxa"/>
          </w:tcPr>
          <w:p w14:paraId="719386D3" w14:textId="4CE3F90A"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FIE täiendav maksuvaba tulu põllumajandussaaduste või metsamaterjali võõrandamisel</w:t>
            </w:r>
          </w:p>
        </w:tc>
        <w:tc>
          <w:tcPr>
            <w:tcW w:w="1409" w:type="dxa"/>
          </w:tcPr>
          <w:p w14:paraId="43A8369A" w14:textId="5EB7912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TMS §32 lg 4</w:t>
            </w:r>
          </w:p>
        </w:tc>
        <w:tc>
          <w:tcPr>
            <w:tcW w:w="1622" w:type="dxa"/>
          </w:tcPr>
          <w:p w14:paraId="274385CB" w14:textId="4A40C399"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64707A09" w14:textId="32EEEF1C"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10,2</w:t>
            </w:r>
          </w:p>
        </w:tc>
        <w:tc>
          <w:tcPr>
            <w:tcW w:w="851" w:type="dxa"/>
          </w:tcPr>
          <w:p w14:paraId="736D80DA" w14:textId="2C0513EB"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10,2</w:t>
            </w:r>
          </w:p>
        </w:tc>
        <w:tc>
          <w:tcPr>
            <w:tcW w:w="850" w:type="dxa"/>
          </w:tcPr>
          <w:p w14:paraId="4A069B70" w14:textId="1A927B9A"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10,2</w:t>
            </w:r>
          </w:p>
        </w:tc>
      </w:tr>
      <w:tr w:rsidR="006456C4" w:rsidRPr="001D6947" w14:paraId="525D94EF" w14:textId="77777777" w:rsidTr="00CE40BB">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656" w:type="dxa"/>
          </w:tcPr>
          <w:p w14:paraId="7F13FF46" w14:textId="20E90795" w:rsidR="006456C4" w:rsidRPr="001D6947" w:rsidRDefault="006456C4" w:rsidP="002B6B57">
            <w:pPr>
              <w:pStyle w:val="Tabelid"/>
              <w:rPr>
                <w:rFonts w:eastAsia="Calibri"/>
              </w:rPr>
            </w:pPr>
            <w:r w:rsidRPr="001D6947">
              <w:t>15.</w:t>
            </w:r>
          </w:p>
        </w:tc>
        <w:tc>
          <w:tcPr>
            <w:tcW w:w="4128" w:type="dxa"/>
          </w:tcPr>
          <w:p w14:paraId="3D3511A6" w14:textId="66778E71"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Maksuvaba töötaja terviseedendamise kulu</w:t>
            </w:r>
          </w:p>
        </w:tc>
        <w:tc>
          <w:tcPr>
            <w:tcW w:w="1409" w:type="dxa"/>
          </w:tcPr>
          <w:p w14:paraId="37F2D277" w14:textId="5F655331"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proofErr w:type="spellStart"/>
            <w:r w:rsidRPr="001D6947">
              <w:t>TuMS</w:t>
            </w:r>
            <w:proofErr w:type="spellEnd"/>
            <w:r w:rsidRPr="001D6947">
              <w:t xml:space="preserve"> §48 lg 55</w:t>
            </w:r>
          </w:p>
        </w:tc>
        <w:tc>
          <w:tcPr>
            <w:tcW w:w="1622" w:type="dxa"/>
          </w:tcPr>
          <w:p w14:paraId="7980EBCE" w14:textId="13B2F073"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tervishoid</w:t>
            </w:r>
          </w:p>
        </w:tc>
        <w:tc>
          <w:tcPr>
            <w:tcW w:w="832" w:type="dxa"/>
          </w:tcPr>
          <w:p w14:paraId="61E3301A" w14:textId="0EF90D94"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9,9</w:t>
            </w:r>
          </w:p>
        </w:tc>
        <w:tc>
          <w:tcPr>
            <w:tcW w:w="851" w:type="dxa"/>
          </w:tcPr>
          <w:p w14:paraId="3A861A1D" w14:textId="00EF256E"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w:t>
            </w:r>
            <w:r w:rsidR="002E75C2" w:rsidRPr="001D6947">
              <w:t>1,0</w:t>
            </w:r>
          </w:p>
        </w:tc>
        <w:tc>
          <w:tcPr>
            <w:tcW w:w="850" w:type="dxa"/>
          </w:tcPr>
          <w:p w14:paraId="63B92F6F" w14:textId="2C4E56D0"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11,</w:t>
            </w:r>
            <w:r w:rsidR="002E75C2" w:rsidRPr="001D6947">
              <w:t>7</w:t>
            </w:r>
          </w:p>
        </w:tc>
      </w:tr>
      <w:tr w:rsidR="006456C4" w:rsidRPr="001D6947" w14:paraId="284F62E2" w14:textId="77777777" w:rsidTr="00CE40BB">
        <w:trPr>
          <w:trHeight w:val="584"/>
        </w:trPr>
        <w:tc>
          <w:tcPr>
            <w:cnfStyle w:val="001000000000" w:firstRow="0" w:lastRow="0" w:firstColumn="1" w:lastColumn="0" w:oddVBand="0" w:evenVBand="0" w:oddHBand="0" w:evenHBand="0" w:firstRowFirstColumn="0" w:firstRowLastColumn="0" w:lastRowFirstColumn="0" w:lastRowLastColumn="0"/>
            <w:tcW w:w="656" w:type="dxa"/>
          </w:tcPr>
          <w:p w14:paraId="4F9C07E6" w14:textId="1BD38EF8" w:rsidR="006456C4" w:rsidRPr="001D6947" w:rsidRDefault="006456C4" w:rsidP="002B6B57">
            <w:pPr>
              <w:pStyle w:val="Tabelid"/>
            </w:pPr>
            <w:r w:rsidRPr="001D6947">
              <w:t>16.</w:t>
            </w:r>
          </w:p>
        </w:tc>
        <w:tc>
          <w:tcPr>
            <w:tcW w:w="4128" w:type="dxa"/>
          </w:tcPr>
          <w:p w14:paraId="2FE7D6DA" w14:textId="693A7655"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pPr>
            <w:r w:rsidRPr="001D6947">
              <w:t>Meremeeste ja reederi soodustused</w:t>
            </w:r>
          </w:p>
        </w:tc>
        <w:tc>
          <w:tcPr>
            <w:tcW w:w="1409" w:type="dxa"/>
          </w:tcPr>
          <w:p w14:paraId="1BD6327E" w14:textId="7777777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pPr>
            <w:proofErr w:type="spellStart"/>
            <w:r w:rsidRPr="001D6947">
              <w:t>TuMS</w:t>
            </w:r>
            <w:proofErr w:type="spellEnd"/>
            <w:r w:rsidRPr="001D6947">
              <w:t xml:space="preserve"> §13 lg 6,</w:t>
            </w:r>
          </w:p>
          <w:p w14:paraId="035BD4FB" w14:textId="7777777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pPr>
            <w:r w:rsidRPr="001D6947">
              <w:t>SMS §2 lg 1¹ ja lg 4 p 8,</w:t>
            </w:r>
          </w:p>
          <w:p w14:paraId="6C2A29EE" w14:textId="7506666A"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pPr>
            <w:proofErr w:type="spellStart"/>
            <w:r w:rsidRPr="001D6947">
              <w:t>TuMS</w:t>
            </w:r>
            <w:proofErr w:type="spellEnd"/>
            <w:r w:rsidRPr="001D6947">
              <w:t xml:space="preserve"> §52¹</w:t>
            </w:r>
          </w:p>
        </w:tc>
        <w:tc>
          <w:tcPr>
            <w:tcW w:w="1622" w:type="dxa"/>
          </w:tcPr>
          <w:p w14:paraId="2BF026D5" w14:textId="7777777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cs="Calibri"/>
                <w:color w:val="000000"/>
              </w:rPr>
            </w:pPr>
            <w:r w:rsidRPr="001D6947">
              <w:rPr>
                <w:rFonts w:cs="Calibri"/>
                <w:color w:val="000000"/>
              </w:rPr>
              <w:t>majandus</w:t>
            </w:r>
          </w:p>
          <w:p w14:paraId="28978D44" w14:textId="7777777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pPr>
          </w:p>
        </w:tc>
        <w:tc>
          <w:tcPr>
            <w:tcW w:w="832" w:type="dxa"/>
          </w:tcPr>
          <w:p w14:paraId="591342A4" w14:textId="1891546C"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0,3</w:t>
            </w:r>
          </w:p>
        </w:tc>
        <w:tc>
          <w:tcPr>
            <w:tcW w:w="851" w:type="dxa"/>
          </w:tcPr>
          <w:p w14:paraId="52F07EB8" w14:textId="1A607DF1"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0,3</w:t>
            </w:r>
          </w:p>
        </w:tc>
        <w:tc>
          <w:tcPr>
            <w:tcW w:w="850" w:type="dxa"/>
          </w:tcPr>
          <w:p w14:paraId="6F3A3D52" w14:textId="02CC3DB4"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pPr>
            <w:r w:rsidRPr="001D6947">
              <w:t>0,3</w:t>
            </w:r>
          </w:p>
        </w:tc>
      </w:tr>
      <w:tr w:rsidR="006456C4" w:rsidRPr="001D6947" w14:paraId="3BDDC86B" w14:textId="77777777" w:rsidTr="00CE40BB">
        <w:trPr>
          <w:cnfStyle w:val="000000100000" w:firstRow="0" w:lastRow="0" w:firstColumn="0" w:lastColumn="0" w:oddVBand="0" w:evenVBand="0" w:oddHBand="1" w:evenHBand="0" w:firstRowFirstColumn="0" w:firstRowLastColumn="0" w:lastRowFirstColumn="0" w:lastRowLastColumn="0"/>
          <w:trHeight w:val="584"/>
        </w:trPr>
        <w:tc>
          <w:tcPr>
            <w:cnfStyle w:val="001000000000" w:firstRow="0" w:lastRow="0" w:firstColumn="1" w:lastColumn="0" w:oddVBand="0" w:evenVBand="0" w:oddHBand="0" w:evenHBand="0" w:firstRowFirstColumn="0" w:firstRowLastColumn="0" w:lastRowFirstColumn="0" w:lastRowLastColumn="0"/>
            <w:tcW w:w="656" w:type="dxa"/>
          </w:tcPr>
          <w:p w14:paraId="396AFE3A" w14:textId="13F93B61" w:rsidR="006456C4" w:rsidRPr="001D6947" w:rsidRDefault="006456C4" w:rsidP="002B6B57">
            <w:pPr>
              <w:pStyle w:val="Tabelid"/>
            </w:pPr>
            <w:r w:rsidRPr="001D6947">
              <w:t>17.</w:t>
            </w:r>
          </w:p>
        </w:tc>
        <w:tc>
          <w:tcPr>
            <w:tcW w:w="4128" w:type="dxa"/>
          </w:tcPr>
          <w:p w14:paraId="58A7D567" w14:textId="140543B4"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r w:rsidRPr="001D6947">
              <w:t xml:space="preserve">Oma tarbest </w:t>
            </w:r>
            <w:proofErr w:type="spellStart"/>
            <w:r w:rsidRPr="001D6947">
              <w:t>ülejääva</w:t>
            </w:r>
            <w:proofErr w:type="spellEnd"/>
            <w:r w:rsidRPr="001D6947">
              <w:t xml:space="preserve"> elektri müügi tulumaksuvabastus</w:t>
            </w:r>
          </w:p>
        </w:tc>
        <w:tc>
          <w:tcPr>
            <w:tcW w:w="1409" w:type="dxa"/>
          </w:tcPr>
          <w:p w14:paraId="39B2C48F" w14:textId="29030EE2"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proofErr w:type="spellStart"/>
            <w:r w:rsidRPr="001D6947">
              <w:t>TuMS</w:t>
            </w:r>
            <w:proofErr w:type="spellEnd"/>
            <w:r w:rsidRPr="001D6947">
              <w:t xml:space="preserve"> §15 lg 4 p 12 ja lg 4¹</w:t>
            </w:r>
          </w:p>
        </w:tc>
        <w:tc>
          <w:tcPr>
            <w:tcW w:w="1622" w:type="dxa"/>
          </w:tcPr>
          <w:p w14:paraId="1A2B6A42" w14:textId="755EBA4E"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cs="Calibri"/>
                <w:color w:val="000000"/>
              </w:rPr>
            </w:pPr>
            <w:r w:rsidRPr="001D6947">
              <w:t xml:space="preserve"> sotsiaalne kaitse</w:t>
            </w:r>
          </w:p>
        </w:tc>
        <w:tc>
          <w:tcPr>
            <w:tcW w:w="832" w:type="dxa"/>
          </w:tcPr>
          <w:p w14:paraId="0E982452" w14:textId="77777777"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851" w:type="dxa"/>
          </w:tcPr>
          <w:p w14:paraId="7DB6160F" w14:textId="7067C9E0"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1,5</w:t>
            </w:r>
          </w:p>
        </w:tc>
        <w:tc>
          <w:tcPr>
            <w:tcW w:w="850" w:type="dxa"/>
          </w:tcPr>
          <w:p w14:paraId="4D792719" w14:textId="4B649D43"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1,</w:t>
            </w:r>
            <w:r w:rsidR="002E75C2" w:rsidRPr="001D6947">
              <w:t>0</w:t>
            </w:r>
          </w:p>
        </w:tc>
      </w:tr>
      <w:tr w:rsidR="006456C4" w:rsidRPr="001D6947" w14:paraId="47534765" w14:textId="77777777" w:rsidTr="00CE40BB">
        <w:trPr>
          <w:trHeight w:val="635"/>
        </w:trPr>
        <w:tc>
          <w:tcPr>
            <w:cnfStyle w:val="001000000000" w:firstRow="0" w:lastRow="0" w:firstColumn="1" w:lastColumn="0" w:oddVBand="0" w:evenVBand="0" w:oddHBand="0" w:evenHBand="0" w:firstRowFirstColumn="0" w:firstRowLastColumn="0" w:lastRowFirstColumn="0" w:lastRowLastColumn="0"/>
            <w:tcW w:w="656" w:type="dxa"/>
          </w:tcPr>
          <w:p w14:paraId="6B2765F8" w14:textId="01AD1F89" w:rsidR="006456C4" w:rsidRPr="001D6947" w:rsidRDefault="006456C4" w:rsidP="002B6B57">
            <w:pPr>
              <w:pStyle w:val="Tabelid"/>
              <w:rPr>
                <w:rFonts w:eastAsia="Calibri"/>
              </w:rPr>
            </w:pPr>
            <w:r w:rsidRPr="001D6947">
              <w:t>18.</w:t>
            </w:r>
          </w:p>
        </w:tc>
        <w:tc>
          <w:tcPr>
            <w:tcW w:w="4128" w:type="dxa"/>
          </w:tcPr>
          <w:p w14:paraId="617FD06E" w14:textId="60D5E5C6"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Väikeõlletootjate 50% aktsiisimäär</w:t>
            </w:r>
          </w:p>
        </w:tc>
        <w:tc>
          <w:tcPr>
            <w:tcW w:w="1409" w:type="dxa"/>
          </w:tcPr>
          <w:p w14:paraId="7F6BF72E" w14:textId="0B271AE1"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ATKEAS §46 lg 1</w:t>
            </w:r>
          </w:p>
        </w:tc>
        <w:tc>
          <w:tcPr>
            <w:tcW w:w="1622" w:type="dxa"/>
          </w:tcPr>
          <w:p w14:paraId="6BF69D23" w14:textId="67DB5491"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6EF74A9D" w14:textId="490710A9"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0,8</w:t>
            </w:r>
          </w:p>
        </w:tc>
        <w:tc>
          <w:tcPr>
            <w:tcW w:w="851" w:type="dxa"/>
          </w:tcPr>
          <w:p w14:paraId="5A0BD3FC" w14:textId="2156A8F4"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0,8</w:t>
            </w:r>
          </w:p>
        </w:tc>
        <w:tc>
          <w:tcPr>
            <w:tcW w:w="850" w:type="dxa"/>
          </w:tcPr>
          <w:p w14:paraId="1FF64F77" w14:textId="03A28B2E"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0,</w:t>
            </w:r>
            <w:r w:rsidR="002E75C2" w:rsidRPr="001D6947">
              <w:t>9</w:t>
            </w:r>
          </w:p>
        </w:tc>
      </w:tr>
      <w:tr w:rsidR="006456C4" w:rsidRPr="001D6947" w14:paraId="4DDC0770" w14:textId="77777777" w:rsidTr="00CE40BB">
        <w:trPr>
          <w:cnfStyle w:val="000000100000" w:firstRow="0" w:lastRow="0" w:firstColumn="0" w:lastColumn="0" w:oddVBand="0" w:evenVBand="0" w:oddHBand="1" w:evenHBand="0" w:firstRowFirstColumn="0" w:firstRowLastColumn="0" w:lastRowFirstColumn="0" w:lastRowLastColumn="0"/>
          <w:trHeight w:val="635"/>
        </w:trPr>
        <w:tc>
          <w:tcPr>
            <w:cnfStyle w:val="001000000000" w:firstRow="0" w:lastRow="0" w:firstColumn="1" w:lastColumn="0" w:oddVBand="0" w:evenVBand="0" w:oddHBand="0" w:evenHBand="0" w:firstRowFirstColumn="0" w:firstRowLastColumn="0" w:lastRowFirstColumn="0" w:lastRowLastColumn="0"/>
            <w:tcW w:w="656" w:type="dxa"/>
          </w:tcPr>
          <w:p w14:paraId="3CE66163" w14:textId="626EBFDF" w:rsidR="006456C4" w:rsidRPr="001D6947" w:rsidRDefault="006456C4" w:rsidP="002B6B57">
            <w:pPr>
              <w:pStyle w:val="Tabelid"/>
            </w:pPr>
            <w:r w:rsidRPr="001D6947">
              <w:t>19.</w:t>
            </w:r>
          </w:p>
        </w:tc>
        <w:tc>
          <w:tcPr>
            <w:tcW w:w="4128" w:type="dxa"/>
          </w:tcPr>
          <w:p w14:paraId="6D32F678" w14:textId="7FDFE921"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r w:rsidRPr="001D6947">
              <w:t>Etanoolisisaldusega kuni 6%vol kääritatud joogi ja veini aktsiisi soodusmäär (soodusmäär on 43% standardmäärast)</w:t>
            </w:r>
          </w:p>
        </w:tc>
        <w:tc>
          <w:tcPr>
            <w:tcW w:w="1409" w:type="dxa"/>
          </w:tcPr>
          <w:p w14:paraId="57263BD3" w14:textId="4BFF80C9"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r w:rsidRPr="001D6947">
              <w:t>ATKEAS §46 lg 2</w:t>
            </w:r>
          </w:p>
        </w:tc>
        <w:tc>
          <w:tcPr>
            <w:tcW w:w="1622" w:type="dxa"/>
          </w:tcPr>
          <w:p w14:paraId="70D1EC95" w14:textId="23FC8B25"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pPr>
            <w:r w:rsidRPr="001D6947">
              <w:t>majandus</w:t>
            </w:r>
          </w:p>
        </w:tc>
        <w:tc>
          <w:tcPr>
            <w:tcW w:w="832" w:type="dxa"/>
          </w:tcPr>
          <w:p w14:paraId="406E15A7" w14:textId="52E124F6"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15,1</w:t>
            </w:r>
          </w:p>
        </w:tc>
        <w:tc>
          <w:tcPr>
            <w:tcW w:w="851" w:type="dxa"/>
          </w:tcPr>
          <w:p w14:paraId="5A417584" w14:textId="41FBD1B4"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1</w:t>
            </w:r>
            <w:r w:rsidR="002E75C2" w:rsidRPr="001D6947">
              <w:t>4,7</w:t>
            </w:r>
          </w:p>
        </w:tc>
        <w:tc>
          <w:tcPr>
            <w:tcW w:w="850" w:type="dxa"/>
          </w:tcPr>
          <w:p w14:paraId="1C463E98" w14:textId="05EF6B1F"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pPr>
            <w:r w:rsidRPr="001D6947">
              <w:t>15,</w:t>
            </w:r>
            <w:r w:rsidR="002E75C2" w:rsidRPr="001D6947">
              <w:t>7</w:t>
            </w:r>
          </w:p>
        </w:tc>
      </w:tr>
      <w:tr w:rsidR="006456C4" w:rsidRPr="001D6947" w14:paraId="6684B825" w14:textId="77777777" w:rsidTr="00CE40BB">
        <w:trPr>
          <w:trHeight w:val="635"/>
        </w:trPr>
        <w:tc>
          <w:tcPr>
            <w:cnfStyle w:val="001000000000" w:firstRow="0" w:lastRow="0" w:firstColumn="1" w:lastColumn="0" w:oddVBand="0" w:evenVBand="0" w:oddHBand="0" w:evenHBand="0" w:firstRowFirstColumn="0" w:firstRowLastColumn="0" w:lastRowFirstColumn="0" w:lastRowLastColumn="0"/>
            <w:tcW w:w="656" w:type="dxa"/>
          </w:tcPr>
          <w:p w14:paraId="60E6CC40" w14:textId="025EDB05" w:rsidR="006456C4" w:rsidRPr="001D6947" w:rsidRDefault="006456C4" w:rsidP="002B6B57">
            <w:pPr>
              <w:pStyle w:val="Tabelid"/>
              <w:rPr>
                <w:rFonts w:eastAsia="Calibri"/>
              </w:rPr>
            </w:pPr>
          </w:p>
        </w:tc>
        <w:tc>
          <w:tcPr>
            <w:tcW w:w="4128" w:type="dxa"/>
          </w:tcPr>
          <w:p w14:paraId="113695EF" w14:textId="459FFA38"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Tubakavedelike aktsiisiga maksustamise ajutine katkestamine</w:t>
            </w:r>
          </w:p>
        </w:tc>
        <w:tc>
          <w:tcPr>
            <w:tcW w:w="1409" w:type="dxa"/>
          </w:tcPr>
          <w:p w14:paraId="7622ADC4" w14:textId="42BDCE1E"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ATKEAS §85</w:t>
            </w:r>
            <w:r w:rsidRPr="001D6947">
              <w:rPr>
                <w:vertAlign w:val="superscript"/>
              </w:rPr>
              <w:t>17</w:t>
            </w:r>
          </w:p>
        </w:tc>
        <w:tc>
          <w:tcPr>
            <w:tcW w:w="1622" w:type="dxa"/>
          </w:tcPr>
          <w:p w14:paraId="2B711E08" w14:textId="3D246006"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2D99ED0D" w14:textId="2A925EE6"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1,3</w:t>
            </w:r>
          </w:p>
        </w:tc>
        <w:tc>
          <w:tcPr>
            <w:tcW w:w="851" w:type="dxa"/>
          </w:tcPr>
          <w:p w14:paraId="5A5541B7" w14:textId="4C4F7406"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p>
        </w:tc>
        <w:tc>
          <w:tcPr>
            <w:tcW w:w="850" w:type="dxa"/>
          </w:tcPr>
          <w:p w14:paraId="0527E4E4" w14:textId="1F22D52F"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p>
        </w:tc>
      </w:tr>
      <w:tr w:rsidR="006456C4" w:rsidRPr="001D6947" w14:paraId="5D434EBB" w14:textId="77777777" w:rsidTr="00CE40BB">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656" w:type="dxa"/>
          </w:tcPr>
          <w:p w14:paraId="232B3E3B" w14:textId="0F1EA23F" w:rsidR="006456C4" w:rsidRPr="001D6947" w:rsidRDefault="006456C4" w:rsidP="002B6B57">
            <w:pPr>
              <w:pStyle w:val="Tabelid"/>
              <w:rPr>
                <w:rFonts w:eastAsia="Calibri"/>
              </w:rPr>
            </w:pPr>
            <w:r w:rsidRPr="001D6947">
              <w:t>20.</w:t>
            </w:r>
          </w:p>
        </w:tc>
        <w:tc>
          <w:tcPr>
            <w:tcW w:w="4128" w:type="dxa"/>
          </w:tcPr>
          <w:p w14:paraId="4CFF2810" w14:textId="6ECAF4CB"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Eriotstarbelise diislikütuse soodsam aktsiisimäär</w:t>
            </w:r>
          </w:p>
        </w:tc>
        <w:tc>
          <w:tcPr>
            <w:tcW w:w="1409" w:type="dxa"/>
          </w:tcPr>
          <w:p w14:paraId="73B0C45A" w14:textId="5504E70E"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ATKEAS §66 lg 7</w:t>
            </w:r>
          </w:p>
        </w:tc>
        <w:tc>
          <w:tcPr>
            <w:tcW w:w="1622" w:type="dxa"/>
          </w:tcPr>
          <w:p w14:paraId="5F69A907" w14:textId="5FAF619D"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majandus</w:t>
            </w:r>
          </w:p>
        </w:tc>
        <w:tc>
          <w:tcPr>
            <w:tcW w:w="832" w:type="dxa"/>
          </w:tcPr>
          <w:p w14:paraId="738666F4" w14:textId="78D65F72"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40,0</w:t>
            </w:r>
          </w:p>
        </w:tc>
        <w:tc>
          <w:tcPr>
            <w:tcW w:w="851" w:type="dxa"/>
          </w:tcPr>
          <w:p w14:paraId="0DE7B00F" w14:textId="1018D370" w:rsidR="006456C4" w:rsidRPr="001D694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39</w:t>
            </w:r>
            <w:r w:rsidR="006456C4" w:rsidRPr="001D6947">
              <w:t>,0</w:t>
            </w:r>
          </w:p>
        </w:tc>
        <w:tc>
          <w:tcPr>
            <w:tcW w:w="850" w:type="dxa"/>
          </w:tcPr>
          <w:p w14:paraId="062890AF" w14:textId="3AE5C360"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3</w:t>
            </w:r>
            <w:r w:rsidR="002E75C2" w:rsidRPr="001D6947">
              <w:t>8</w:t>
            </w:r>
            <w:r w:rsidRPr="001D6947">
              <w:t>,0</w:t>
            </w:r>
          </w:p>
        </w:tc>
      </w:tr>
      <w:tr w:rsidR="006456C4" w:rsidRPr="001D6947" w14:paraId="14DF73B2" w14:textId="77777777" w:rsidTr="00CE40BB">
        <w:trPr>
          <w:trHeight w:val="225"/>
        </w:trPr>
        <w:tc>
          <w:tcPr>
            <w:cnfStyle w:val="001000000000" w:firstRow="0" w:lastRow="0" w:firstColumn="1" w:lastColumn="0" w:oddVBand="0" w:evenVBand="0" w:oddHBand="0" w:evenHBand="0" w:firstRowFirstColumn="0" w:firstRowLastColumn="0" w:lastRowFirstColumn="0" w:lastRowLastColumn="0"/>
            <w:tcW w:w="656" w:type="dxa"/>
          </w:tcPr>
          <w:p w14:paraId="7A304EDF" w14:textId="17BA553A" w:rsidR="006456C4" w:rsidRPr="001D6947" w:rsidRDefault="006456C4" w:rsidP="002B6B57">
            <w:pPr>
              <w:pStyle w:val="Tabelid"/>
              <w:rPr>
                <w:rFonts w:eastAsia="Calibri"/>
              </w:rPr>
            </w:pPr>
            <w:r w:rsidRPr="001D6947">
              <w:t>21.</w:t>
            </w:r>
          </w:p>
        </w:tc>
        <w:tc>
          <w:tcPr>
            <w:tcW w:w="4128" w:type="dxa"/>
          </w:tcPr>
          <w:p w14:paraId="2A4EB347" w14:textId="17F4A2E0"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Kalurite kütuseaktsiisivabastus</w:t>
            </w:r>
          </w:p>
        </w:tc>
        <w:tc>
          <w:tcPr>
            <w:tcW w:w="1409" w:type="dxa"/>
          </w:tcPr>
          <w:p w14:paraId="284084C9" w14:textId="59FAD4C4"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ATKEAS §27 lg 1 p 22²</w:t>
            </w:r>
          </w:p>
        </w:tc>
        <w:tc>
          <w:tcPr>
            <w:tcW w:w="1622" w:type="dxa"/>
          </w:tcPr>
          <w:p w14:paraId="4E32CC44" w14:textId="420FB579"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0DD31DDB" w14:textId="66122A1E"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1,2</w:t>
            </w:r>
          </w:p>
        </w:tc>
        <w:tc>
          <w:tcPr>
            <w:tcW w:w="851" w:type="dxa"/>
          </w:tcPr>
          <w:p w14:paraId="6EBF9723" w14:textId="6812C796"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1,2</w:t>
            </w:r>
          </w:p>
        </w:tc>
        <w:tc>
          <w:tcPr>
            <w:tcW w:w="850" w:type="dxa"/>
          </w:tcPr>
          <w:p w14:paraId="772D032B" w14:textId="4654A068"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1,2</w:t>
            </w:r>
          </w:p>
        </w:tc>
      </w:tr>
      <w:tr w:rsidR="006456C4" w:rsidRPr="001D6947" w14:paraId="0F1C17C3" w14:textId="77777777" w:rsidTr="00CE40B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56" w:type="dxa"/>
          </w:tcPr>
          <w:p w14:paraId="5B663CDE" w14:textId="53A4BD5B" w:rsidR="006456C4" w:rsidRPr="001D6947" w:rsidRDefault="006456C4" w:rsidP="002B6B57">
            <w:pPr>
              <w:pStyle w:val="Tabelid"/>
              <w:rPr>
                <w:rFonts w:eastAsia="Calibri"/>
              </w:rPr>
            </w:pPr>
            <w:r w:rsidRPr="001D6947">
              <w:t>22.</w:t>
            </w:r>
          </w:p>
        </w:tc>
        <w:tc>
          <w:tcPr>
            <w:tcW w:w="4128" w:type="dxa"/>
          </w:tcPr>
          <w:p w14:paraId="7C39FC3E" w14:textId="3CDBA109"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 xml:space="preserve">Elektrienergia, mida kasutatakse keemilise reduktsiooni jaoks ning elektrolüütilistes, </w:t>
            </w:r>
            <w:proofErr w:type="spellStart"/>
            <w:r w:rsidRPr="001D6947">
              <w:t>metallurgilistes</w:t>
            </w:r>
            <w:proofErr w:type="spellEnd"/>
            <w:r w:rsidRPr="001D6947">
              <w:t xml:space="preserve"> ja mineraloogilistes protsessides</w:t>
            </w:r>
          </w:p>
        </w:tc>
        <w:tc>
          <w:tcPr>
            <w:tcW w:w="1409" w:type="dxa"/>
          </w:tcPr>
          <w:p w14:paraId="578ED06E" w14:textId="1145A88B"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ATKEAS §27 lg 1 p24, p28</w:t>
            </w:r>
            <w:r w:rsidRPr="001D6947">
              <w:rPr>
                <w:vertAlign w:val="superscript"/>
              </w:rPr>
              <w:t>4</w:t>
            </w:r>
          </w:p>
        </w:tc>
        <w:tc>
          <w:tcPr>
            <w:tcW w:w="1622" w:type="dxa"/>
          </w:tcPr>
          <w:p w14:paraId="1CDEFA2F" w14:textId="450096AE"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majandus</w:t>
            </w:r>
          </w:p>
        </w:tc>
        <w:tc>
          <w:tcPr>
            <w:tcW w:w="832" w:type="dxa"/>
          </w:tcPr>
          <w:p w14:paraId="313097F8" w14:textId="407BCD50"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0,1</w:t>
            </w:r>
          </w:p>
        </w:tc>
        <w:tc>
          <w:tcPr>
            <w:tcW w:w="851" w:type="dxa"/>
          </w:tcPr>
          <w:p w14:paraId="3690F6AC" w14:textId="5CB0D560"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0,</w:t>
            </w:r>
            <w:r w:rsidR="002E75C2" w:rsidRPr="001D6947">
              <w:t>2</w:t>
            </w:r>
          </w:p>
        </w:tc>
        <w:tc>
          <w:tcPr>
            <w:tcW w:w="850" w:type="dxa"/>
          </w:tcPr>
          <w:p w14:paraId="3042D618" w14:textId="3D60CEEA"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bCs/>
              </w:rPr>
            </w:pPr>
            <w:r w:rsidRPr="001D6947">
              <w:t>0,</w:t>
            </w:r>
            <w:r w:rsidR="002E75C2" w:rsidRPr="001D6947">
              <w:t>2</w:t>
            </w:r>
          </w:p>
        </w:tc>
      </w:tr>
      <w:tr w:rsidR="006456C4" w:rsidRPr="001D6947" w14:paraId="6EC404CA" w14:textId="77777777" w:rsidTr="00CE40BB">
        <w:trPr>
          <w:trHeight w:val="440"/>
        </w:trPr>
        <w:tc>
          <w:tcPr>
            <w:cnfStyle w:val="001000000000" w:firstRow="0" w:lastRow="0" w:firstColumn="1" w:lastColumn="0" w:oddVBand="0" w:evenVBand="0" w:oddHBand="0" w:evenHBand="0" w:firstRowFirstColumn="0" w:firstRowLastColumn="0" w:lastRowFirstColumn="0" w:lastRowLastColumn="0"/>
            <w:tcW w:w="656" w:type="dxa"/>
          </w:tcPr>
          <w:p w14:paraId="43C83A6E" w14:textId="2FB34A44" w:rsidR="006456C4" w:rsidRPr="001D6947" w:rsidRDefault="006456C4" w:rsidP="002B6B57">
            <w:pPr>
              <w:pStyle w:val="Tabelid"/>
              <w:rPr>
                <w:rFonts w:eastAsia="Calibri"/>
              </w:rPr>
            </w:pPr>
            <w:r w:rsidRPr="001D6947">
              <w:t>23.</w:t>
            </w:r>
          </w:p>
        </w:tc>
        <w:tc>
          <w:tcPr>
            <w:tcW w:w="4128" w:type="dxa"/>
          </w:tcPr>
          <w:p w14:paraId="73765657" w14:textId="1F193B0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Elektrienergia ja kütus, mida kasutatakse elektri­energia tootmiseks ning elektrienergia, mida kasutatakse elektrienergia tootmise suutlikkuse säilitamiseks</w:t>
            </w:r>
          </w:p>
        </w:tc>
        <w:tc>
          <w:tcPr>
            <w:tcW w:w="1409" w:type="dxa"/>
          </w:tcPr>
          <w:p w14:paraId="1DDB3348" w14:textId="472CD108"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ATKEAS §27 lg 1 p28</w:t>
            </w:r>
            <w:r w:rsidRPr="001D6947">
              <w:rPr>
                <w:vertAlign w:val="superscript"/>
              </w:rPr>
              <w:t>2</w:t>
            </w:r>
          </w:p>
        </w:tc>
        <w:tc>
          <w:tcPr>
            <w:tcW w:w="1622" w:type="dxa"/>
          </w:tcPr>
          <w:p w14:paraId="7D4B0561" w14:textId="6B01F7A5"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421A4B3B" w14:textId="19B41DD7"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1,1</w:t>
            </w:r>
          </w:p>
        </w:tc>
        <w:tc>
          <w:tcPr>
            <w:tcW w:w="851" w:type="dxa"/>
          </w:tcPr>
          <w:p w14:paraId="1A8A30C0" w14:textId="70277C01"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w:t>
            </w:r>
            <w:r w:rsidR="002E75C2" w:rsidRPr="001D6947">
              <w:t>0</w:t>
            </w:r>
          </w:p>
        </w:tc>
        <w:tc>
          <w:tcPr>
            <w:tcW w:w="850" w:type="dxa"/>
          </w:tcPr>
          <w:p w14:paraId="05C4ECFB" w14:textId="417D43B1"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bCs/>
              </w:rPr>
            </w:pPr>
            <w:r w:rsidRPr="001D6947">
              <w:t>1,4</w:t>
            </w:r>
          </w:p>
        </w:tc>
      </w:tr>
      <w:tr w:rsidR="006456C4" w:rsidRPr="001D6947" w14:paraId="5B068B9E" w14:textId="77777777" w:rsidTr="00CE40B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656" w:type="dxa"/>
          </w:tcPr>
          <w:p w14:paraId="70F8AEA5" w14:textId="616F8FB0" w:rsidR="006456C4" w:rsidRPr="001D6947" w:rsidRDefault="006456C4" w:rsidP="002B6B57">
            <w:pPr>
              <w:pStyle w:val="Tabelid"/>
              <w:rPr>
                <w:rFonts w:eastAsia="Calibri"/>
              </w:rPr>
            </w:pPr>
            <w:r w:rsidRPr="001D6947">
              <w:lastRenderedPageBreak/>
              <w:t>24.</w:t>
            </w:r>
          </w:p>
        </w:tc>
        <w:tc>
          <w:tcPr>
            <w:tcW w:w="4128" w:type="dxa"/>
          </w:tcPr>
          <w:p w14:paraId="0F50D420" w14:textId="42239777"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 xml:space="preserve">Kütus, mida kasutatakse mineraloogilistes protsessides </w:t>
            </w:r>
          </w:p>
        </w:tc>
        <w:tc>
          <w:tcPr>
            <w:tcW w:w="1409" w:type="dxa"/>
          </w:tcPr>
          <w:p w14:paraId="2AE67D8F" w14:textId="4FF8B8D4"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 xml:space="preserve">ATKEAS §27 lg 1 p24 </w:t>
            </w:r>
          </w:p>
        </w:tc>
        <w:tc>
          <w:tcPr>
            <w:tcW w:w="1622" w:type="dxa"/>
          </w:tcPr>
          <w:p w14:paraId="676B97AF" w14:textId="4DAF4D71"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majandus</w:t>
            </w:r>
          </w:p>
        </w:tc>
        <w:tc>
          <w:tcPr>
            <w:tcW w:w="832" w:type="dxa"/>
          </w:tcPr>
          <w:p w14:paraId="25A71261" w14:textId="3314B5E4"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0,8</w:t>
            </w:r>
          </w:p>
        </w:tc>
        <w:tc>
          <w:tcPr>
            <w:tcW w:w="851" w:type="dxa"/>
          </w:tcPr>
          <w:p w14:paraId="4F5C4D1A" w14:textId="1CE8AD1D"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w:t>
            </w:r>
            <w:r w:rsidR="002E75C2" w:rsidRPr="001D6947">
              <w:t>7</w:t>
            </w:r>
          </w:p>
        </w:tc>
        <w:tc>
          <w:tcPr>
            <w:tcW w:w="850" w:type="dxa"/>
          </w:tcPr>
          <w:p w14:paraId="1578EC1B" w14:textId="2F5D7512" w:rsidR="006456C4" w:rsidRPr="001D6947" w:rsidRDefault="002E75C2"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rPr>
                <w:rFonts w:eastAsia="Calibri"/>
                <w:bCs/>
              </w:rPr>
              <w:t>0,8</w:t>
            </w:r>
          </w:p>
        </w:tc>
      </w:tr>
      <w:tr w:rsidR="006456C4" w:rsidRPr="001D6947" w14:paraId="125D12A2" w14:textId="77777777" w:rsidTr="00CE40BB">
        <w:trPr>
          <w:trHeight w:val="440"/>
        </w:trPr>
        <w:tc>
          <w:tcPr>
            <w:cnfStyle w:val="001000000000" w:firstRow="0" w:lastRow="0" w:firstColumn="1" w:lastColumn="0" w:oddVBand="0" w:evenVBand="0" w:oddHBand="0" w:evenHBand="0" w:firstRowFirstColumn="0" w:firstRowLastColumn="0" w:lastRowFirstColumn="0" w:lastRowLastColumn="0"/>
            <w:tcW w:w="656" w:type="dxa"/>
          </w:tcPr>
          <w:p w14:paraId="25271500" w14:textId="6A40923A" w:rsidR="006456C4" w:rsidRPr="001D6947" w:rsidRDefault="006456C4" w:rsidP="002B6B57">
            <w:pPr>
              <w:pStyle w:val="Tabelid"/>
              <w:rPr>
                <w:rFonts w:eastAsia="Calibri"/>
              </w:rPr>
            </w:pPr>
            <w:r w:rsidRPr="001D6947">
              <w:rPr>
                <w:rFonts w:eastAsia="Calibri"/>
              </w:rPr>
              <w:t>25.</w:t>
            </w:r>
          </w:p>
        </w:tc>
        <w:tc>
          <w:tcPr>
            <w:tcW w:w="4128" w:type="dxa"/>
          </w:tcPr>
          <w:p w14:paraId="675D6A5A" w14:textId="6095E678"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Maagaas, mida kasutatakse maagaasivõrgu töös hoidmiseks</w:t>
            </w:r>
          </w:p>
        </w:tc>
        <w:tc>
          <w:tcPr>
            <w:tcW w:w="1409" w:type="dxa"/>
          </w:tcPr>
          <w:p w14:paraId="05C5F83C" w14:textId="415A94E7"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ATKEAS §27 lg 1 P 28</w:t>
            </w:r>
            <w:r w:rsidRPr="001D6947">
              <w:rPr>
                <w:vertAlign w:val="superscript"/>
              </w:rPr>
              <w:t>6</w:t>
            </w:r>
          </w:p>
        </w:tc>
        <w:tc>
          <w:tcPr>
            <w:tcW w:w="1622" w:type="dxa"/>
          </w:tcPr>
          <w:p w14:paraId="16D0BABD" w14:textId="2015CE70"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6098AD30" w14:textId="6AFC37A1"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rFonts w:eastAsia="Calibri"/>
                <w:bCs/>
              </w:rPr>
            </w:pPr>
            <w:r w:rsidRPr="001D6947">
              <w:t>0,0</w:t>
            </w:r>
          </w:p>
        </w:tc>
        <w:tc>
          <w:tcPr>
            <w:tcW w:w="851" w:type="dxa"/>
          </w:tcPr>
          <w:p w14:paraId="5309A381" w14:textId="3798EBF6"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rFonts w:eastAsia="Calibri"/>
                <w:bCs/>
              </w:rPr>
            </w:pPr>
            <w:r w:rsidRPr="001D6947">
              <w:t>0,0</w:t>
            </w:r>
          </w:p>
        </w:tc>
        <w:tc>
          <w:tcPr>
            <w:tcW w:w="850" w:type="dxa"/>
          </w:tcPr>
          <w:p w14:paraId="5C39040B" w14:textId="4050903E"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rFonts w:eastAsia="Calibri"/>
                <w:bCs/>
              </w:rPr>
            </w:pPr>
            <w:r w:rsidRPr="001D6947">
              <w:t>0,0</w:t>
            </w:r>
          </w:p>
        </w:tc>
      </w:tr>
      <w:tr w:rsidR="006456C4" w:rsidRPr="001D6947" w14:paraId="3DF9D75B" w14:textId="77777777" w:rsidTr="00CE40B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56" w:type="dxa"/>
          </w:tcPr>
          <w:p w14:paraId="17A09544" w14:textId="2F316FD2" w:rsidR="006456C4" w:rsidRPr="001D6947" w:rsidRDefault="006456C4" w:rsidP="002B6B57">
            <w:pPr>
              <w:pStyle w:val="Tabelid"/>
              <w:rPr>
                <w:rFonts w:eastAsia="Calibri"/>
              </w:rPr>
            </w:pPr>
            <w:r w:rsidRPr="001D6947">
              <w:rPr>
                <w:rFonts w:eastAsia="Calibri"/>
              </w:rPr>
              <w:t>26.</w:t>
            </w:r>
          </w:p>
        </w:tc>
        <w:tc>
          <w:tcPr>
            <w:tcW w:w="4128" w:type="dxa"/>
          </w:tcPr>
          <w:p w14:paraId="068AFEF7" w14:textId="24995D8C"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Suurtarbijate elektrienergia aktsiisi soodustus</w:t>
            </w:r>
          </w:p>
        </w:tc>
        <w:tc>
          <w:tcPr>
            <w:tcW w:w="1409" w:type="dxa"/>
          </w:tcPr>
          <w:p w14:paraId="1D63F21F" w14:textId="5528DB9B"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ATKEAS §66 lg 12</w:t>
            </w:r>
            <w:r w:rsidRPr="001D6947">
              <w:rPr>
                <w:vertAlign w:val="superscript"/>
              </w:rPr>
              <w:t>1</w:t>
            </w:r>
          </w:p>
        </w:tc>
        <w:tc>
          <w:tcPr>
            <w:tcW w:w="1622" w:type="dxa"/>
          </w:tcPr>
          <w:p w14:paraId="1E4C3F11" w14:textId="3DEE7A38"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majandus</w:t>
            </w:r>
          </w:p>
        </w:tc>
        <w:tc>
          <w:tcPr>
            <w:tcW w:w="832" w:type="dxa"/>
          </w:tcPr>
          <w:p w14:paraId="6E1C44AB" w14:textId="25CF8842"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0,2</w:t>
            </w:r>
          </w:p>
        </w:tc>
        <w:tc>
          <w:tcPr>
            <w:tcW w:w="851" w:type="dxa"/>
          </w:tcPr>
          <w:p w14:paraId="27FC4E6E" w14:textId="360C5949"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w:t>
            </w:r>
            <w:r w:rsidR="002E75C2" w:rsidRPr="001D6947">
              <w:t>2</w:t>
            </w:r>
          </w:p>
        </w:tc>
        <w:tc>
          <w:tcPr>
            <w:tcW w:w="850" w:type="dxa"/>
          </w:tcPr>
          <w:p w14:paraId="4D8337A0" w14:textId="0420D5B3"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0,4</w:t>
            </w:r>
          </w:p>
        </w:tc>
      </w:tr>
      <w:tr w:rsidR="006456C4" w:rsidRPr="001D6947" w14:paraId="67A8080E" w14:textId="77777777" w:rsidTr="00CE40BB">
        <w:trPr>
          <w:trHeight w:val="430"/>
        </w:trPr>
        <w:tc>
          <w:tcPr>
            <w:cnfStyle w:val="001000000000" w:firstRow="0" w:lastRow="0" w:firstColumn="1" w:lastColumn="0" w:oddVBand="0" w:evenVBand="0" w:oddHBand="0" w:evenHBand="0" w:firstRowFirstColumn="0" w:firstRowLastColumn="0" w:lastRowFirstColumn="0" w:lastRowLastColumn="0"/>
            <w:tcW w:w="656" w:type="dxa"/>
          </w:tcPr>
          <w:p w14:paraId="34C79CEB" w14:textId="6A68A830" w:rsidR="006456C4" w:rsidRPr="001D6947" w:rsidRDefault="006456C4" w:rsidP="002B6B57">
            <w:pPr>
              <w:pStyle w:val="Tabelid"/>
              <w:rPr>
                <w:rFonts w:eastAsia="Calibri"/>
              </w:rPr>
            </w:pPr>
            <w:r w:rsidRPr="001D6947">
              <w:rPr>
                <w:rFonts w:eastAsia="Calibri"/>
              </w:rPr>
              <w:t>27.</w:t>
            </w:r>
          </w:p>
        </w:tc>
        <w:tc>
          <w:tcPr>
            <w:tcW w:w="4128" w:type="dxa"/>
          </w:tcPr>
          <w:p w14:paraId="68DBBB8F" w14:textId="53F43999"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Suurtarbijate gaasiaktsiisi soodustus</w:t>
            </w:r>
          </w:p>
        </w:tc>
        <w:tc>
          <w:tcPr>
            <w:tcW w:w="1409" w:type="dxa"/>
          </w:tcPr>
          <w:p w14:paraId="50B75522" w14:textId="4E01BBBF"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ATKEAS §66 lg 10</w:t>
            </w:r>
            <w:r w:rsidRPr="001D6947">
              <w:rPr>
                <w:vertAlign w:val="superscript"/>
              </w:rPr>
              <w:t>3</w:t>
            </w:r>
          </w:p>
        </w:tc>
        <w:tc>
          <w:tcPr>
            <w:tcW w:w="1622" w:type="dxa"/>
          </w:tcPr>
          <w:p w14:paraId="2449E0AE" w14:textId="2F1C7876" w:rsidR="006456C4" w:rsidRPr="001D6947" w:rsidRDefault="006456C4" w:rsidP="002B6B57">
            <w:pPr>
              <w:pStyle w:val="Tabelid"/>
              <w:cnfStyle w:val="000000000000" w:firstRow="0" w:lastRow="0" w:firstColumn="0" w:lastColumn="0" w:oddVBand="0" w:evenVBand="0" w:oddHBand="0" w:evenHBand="0" w:firstRowFirstColumn="0" w:firstRowLastColumn="0" w:lastRowFirstColumn="0" w:lastRowLastColumn="0"/>
              <w:rPr>
                <w:rFonts w:eastAsia="Calibri"/>
                <w:bCs/>
              </w:rPr>
            </w:pPr>
            <w:r w:rsidRPr="001D6947">
              <w:t>majandus</w:t>
            </w:r>
          </w:p>
        </w:tc>
        <w:tc>
          <w:tcPr>
            <w:tcW w:w="832" w:type="dxa"/>
          </w:tcPr>
          <w:p w14:paraId="413D3932" w14:textId="3CF20B54"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rFonts w:eastAsia="Calibri"/>
                <w:bCs/>
              </w:rPr>
            </w:pPr>
            <w:r w:rsidRPr="001D6947">
              <w:t>0,8</w:t>
            </w:r>
          </w:p>
        </w:tc>
        <w:tc>
          <w:tcPr>
            <w:tcW w:w="851" w:type="dxa"/>
          </w:tcPr>
          <w:p w14:paraId="27C55B53" w14:textId="7A305297"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rFonts w:eastAsia="Calibri"/>
                <w:bCs/>
              </w:rPr>
            </w:pPr>
            <w:r w:rsidRPr="001D6947">
              <w:t>0,8</w:t>
            </w:r>
          </w:p>
        </w:tc>
        <w:tc>
          <w:tcPr>
            <w:tcW w:w="850" w:type="dxa"/>
          </w:tcPr>
          <w:p w14:paraId="64C7FFAA" w14:textId="0B722F6C" w:rsidR="006456C4" w:rsidRPr="001D6947" w:rsidRDefault="006456C4" w:rsidP="002B6B57">
            <w:pPr>
              <w:pStyle w:val="Tabelid"/>
              <w:jc w:val="right"/>
              <w:cnfStyle w:val="000000000000" w:firstRow="0" w:lastRow="0" w:firstColumn="0" w:lastColumn="0" w:oddVBand="0" w:evenVBand="0" w:oddHBand="0" w:evenHBand="0" w:firstRowFirstColumn="0" w:firstRowLastColumn="0" w:lastRowFirstColumn="0" w:lastRowLastColumn="0"/>
              <w:rPr>
                <w:rFonts w:eastAsia="Calibri"/>
                <w:bCs/>
              </w:rPr>
            </w:pPr>
            <w:r w:rsidRPr="001D6947">
              <w:t>0,9</w:t>
            </w:r>
          </w:p>
        </w:tc>
      </w:tr>
      <w:tr w:rsidR="006456C4" w:rsidRPr="002E75C2" w14:paraId="03829902" w14:textId="77777777" w:rsidTr="00CE40BB">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56" w:type="dxa"/>
          </w:tcPr>
          <w:p w14:paraId="351DFD6D" w14:textId="01D499B0" w:rsidR="006456C4" w:rsidRPr="001D6947" w:rsidRDefault="006456C4" w:rsidP="002B6B57">
            <w:pPr>
              <w:pStyle w:val="Tabelid"/>
              <w:rPr>
                <w:rFonts w:eastAsia="Calibri"/>
              </w:rPr>
            </w:pPr>
            <w:r w:rsidRPr="001D6947">
              <w:rPr>
                <w:rFonts w:eastAsia="Calibri"/>
              </w:rPr>
              <w:t>28.</w:t>
            </w:r>
          </w:p>
        </w:tc>
        <w:tc>
          <w:tcPr>
            <w:tcW w:w="4128" w:type="dxa"/>
          </w:tcPr>
          <w:p w14:paraId="5A901630" w14:textId="05BE5572"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Aktsiisiga maksustamata biokütuse edastatud kogus</w:t>
            </w:r>
          </w:p>
        </w:tc>
        <w:tc>
          <w:tcPr>
            <w:tcW w:w="1409" w:type="dxa"/>
          </w:tcPr>
          <w:p w14:paraId="64B021BD" w14:textId="17E1AC4A"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ATKEAS §19 lg 14 p22</w:t>
            </w:r>
          </w:p>
        </w:tc>
        <w:tc>
          <w:tcPr>
            <w:tcW w:w="1622" w:type="dxa"/>
          </w:tcPr>
          <w:p w14:paraId="540B4034" w14:textId="4652BE82" w:rsidR="006456C4" w:rsidRPr="001D6947" w:rsidRDefault="006456C4" w:rsidP="002B6B57">
            <w:pPr>
              <w:pStyle w:val="Tabelid"/>
              <w:cnfStyle w:val="000000100000" w:firstRow="0" w:lastRow="0" w:firstColumn="0" w:lastColumn="0" w:oddVBand="0" w:evenVBand="0" w:oddHBand="1" w:evenHBand="0" w:firstRowFirstColumn="0" w:firstRowLastColumn="0" w:lastRowFirstColumn="0" w:lastRowLastColumn="0"/>
              <w:rPr>
                <w:rFonts w:eastAsia="Calibri"/>
                <w:bCs/>
              </w:rPr>
            </w:pPr>
            <w:r w:rsidRPr="001D6947">
              <w:t>majandus</w:t>
            </w:r>
          </w:p>
        </w:tc>
        <w:tc>
          <w:tcPr>
            <w:tcW w:w="832" w:type="dxa"/>
          </w:tcPr>
          <w:p w14:paraId="4EAADDFC" w14:textId="1B915601"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0,5</w:t>
            </w:r>
          </w:p>
        </w:tc>
        <w:tc>
          <w:tcPr>
            <w:tcW w:w="851" w:type="dxa"/>
          </w:tcPr>
          <w:p w14:paraId="0C12F740" w14:textId="6F52BBE5" w:rsidR="006456C4" w:rsidRPr="001D6947"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w:t>
            </w:r>
            <w:r w:rsidR="002E75C2" w:rsidRPr="001D6947">
              <w:t>6</w:t>
            </w:r>
          </w:p>
        </w:tc>
        <w:tc>
          <w:tcPr>
            <w:tcW w:w="850" w:type="dxa"/>
          </w:tcPr>
          <w:p w14:paraId="4EA3F88A" w14:textId="7D850BFE" w:rsidR="006456C4" w:rsidRPr="002E75C2" w:rsidRDefault="006456C4" w:rsidP="002B6B57">
            <w:pPr>
              <w:pStyle w:val="Tabelid"/>
              <w:jc w:val="right"/>
              <w:cnfStyle w:val="000000100000" w:firstRow="0" w:lastRow="0" w:firstColumn="0" w:lastColumn="0" w:oddVBand="0" w:evenVBand="0" w:oddHBand="1" w:evenHBand="0" w:firstRowFirstColumn="0" w:firstRowLastColumn="0" w:lastRowFirstColumn="0" w:lastRowLastColumn="0"/>
              <w:rPr>
                <w:rFonts w:eastAsia="Calibri"/>
                <w:bCs/>
              </w:rPr>
            </w:pPr>
            <w:r w:rsidRPr="001D6947">
              <w:t>0,</w:t>
            </w:r>
            <w:r w:rsidR="002E75C2" w:rsidRPr="001D6947">
              <w:t>7</w:t>
            </w:r>
          </w:p>
        </w:tc>
      </w:tr>
    </w:tbl>
    <w:p w14:paraId="04E8065F" w14:textId="77777777" w:rsidR="00831AD9" w:rsidRPr="002E75C2" w:rsidRDefault="00831AD9" w:rsidP="00831AD9">
      <w:pPr>
        <w:pStyle w:val="Phitekst"/>
        <w:rPr>
          <w:rStyle w:val="MrkusChar"/>
        </w:rPr>
      </w:pPr>
      <w:r w:rsidRPr="002E75C2">
        <w:rPr>
          <w:rStyle w:val="MrkusChar"/>
        </w:rPr>
        <w:br w:type="page"/>
      </w:r>
    </w:p>
    <w:p w14:paraId="544929E6" w14:textId="77777777" w:rsidR="00831AD9" w:rsidRPr="00414819" w:rsidRDefault="00831AD9" w:rsidP="00831AD9">
      <w:pPr>
        <w:pStyle w:val="Phitekst"/>
        <w:rPr>
          <w:rStyle w:val="MrkusChar"/>
          <w:highlight w:val="yellow"/>
        </w:rPr>
      </w:pPr>
    </w:p>
    <w:p w14:paraId="74E49010" w14:textId="626271F2" w:rsidR="009D7526" w:rsidRPr="00877CAB" w:rsidRDefault="00B80522" w:rsidP="00E90C00">
      <w:pPr>
        <w:pStyle w:val="Caption"/>
      </w:pPr>
      <w:bookmarkStart w:id="280" w:name="_Ref100182071"/>
      <w:bookmarkStart w:id="281" w:name="_Ref99984675"/>
      <w:bookmarkStart w:id="282" w:name="_Ref511379493"/>
      <w:bookmarkStart w:id="283" w:name="_Toc511317453"/>
      <w:bookmarkStart w:id="284" w:name="_Toc143775560"/>
      <w:r w:rsidRPr="001D6947">
        <w:t xml:space="preserve">Tabel </w:t>
      </w:r>
      <w:r w:rsidR="004C0EAE">
        <w:fldChar w:fldCharType="begin"/>
      </w:r>
      <w:r w:rsidR="004C0EAE">
        <w:instrText xml:space="preserve"> SEQ Tabel \* ARABIC </w:instrText>
      </w:r>
      <w:r w:rsidR="004C0EAE">
        <w:fldChar w:fldCharType="separate"/>
      </w:r>
      <w:r w:rsidR="008478E8">
        <w:rPr>
          <w:noProof/>
        </w:rPr>
        <w:t>19</w:t>
      </w:r>
      <w:r w:rsidR="004C0EAE">
        <w:rPr>
          <w:noProof/>
        </w:rPr>
        <w:fldChar w:fldCharType="end"/>
      </w:r>
      <w:bookmarkEnd w:id="280"/>
      <w:r w:rsidRPr="001D6947">
        <w:t>.</w:t>
      </w:r>
      <w:r w:rsidR="00716C16" w:rsidRPr="001D6947">
        <w:t xml:space="preserve"> </w:t>
      </w:r>
      <w:r w:rsidR="00F4704F" w:rsidRPr="001D6947">
        <w:t>Valitsussektori võlakoormuse muutus 202</w:t>
      </w:r>
      <w:r w:rsidR="000065F7" w:rsidRPr="001D6947">
        <w:t>2</w:t>
      </w:r>
      <w:r w:rsidR="00F4704F" w:rsidRPr="001D6947">
        <w:t>. aastal</w:t>
      </w:r>
      <w:bookmarkEnd w:id="281"/>
      <w:bookmarkEnd w:id="284"/>
    </w:p>
    <w:tbl>
      <w:tblPr>
        <w:tblW w:w="10020" w:type="dxa"/>
        <w:tblCellMar>
          <w:left w:w="70" w:type="dxa"/>
          <w:right w:w="70" w:type="dxa"/>
        </w:tblCellMar>
        <w:tblLook w:val="04A0" w:firstRow="1" w:lastRow="0" w:firstColumn="1" w:lastColumn="0" w:noHBand="0" w:noVBand="1"/>
      </w:tblPr>
      <w:tblGrid>
        <w:gridCol w:w="2671"/>
        <w:gridCol w:w="1455"/>
        <w:gridCol w:w="1480"/>
        <w:gridCol w:w="1472"/>
        <w:gridCol w:w="1471"/>
        <w:gridCol w:w="1471"/>
      </w:tblGrid>
      <w:tr w:rsidR="00877CAB" w:rsidRPr="00877CAB" w14:paraId="4B19C5E9" w14:textId="77777777" w:rsidTr="005144A8">
        <w:trPr>
          <w:trHeight w:val="315"/>
        </w:trPr>
        <w:tc>
          <w:tcPr>
            <w:tcW w:w="2671" w:type="dxa"/>
            <w:tcBorders>
              <w:top w:val="single" w:sz="4" w:space="0" w:color="auto"/>
              <w:right w:val="single" w:sz="12" w:space="0" w:color="auto"/>
            </w:tcBorders>
            <w:shd w:val="clear" w:color="auto" w:fill="auto"/>
            <w:vAlign w:val="center"/>
            <w:hideMark/>
          </w:tcPr>
          <w:p w14:paraId="5314F62F" w14:textId="77777777" w:rsidR="00877CAB" w:rsidRPr="00877CAB" w:rsidRDefault="00877CAB" w:rsidP="00877CAB">
            <w:pPr>
              <w:spacing w:after="0" w:line="240" w:lineRule="auto"/>
              <w:rPr>
                <w:rFonts w:ascii="Roboto Condensed" w:eastAsia="Times New Roman" w:hAnsi="Roboto Condensed" w:cs="Calibri"/>
                <w:color w:val="000000"/>
                <w:kern w:val="0"/>
                <w:sz w:val="18"/>
                <w:szCs w:val="18"/>
                <w:lang w:eastAsia="et-EE"/>
                <w14:ligatures w14:val="none"/>
              </w:rPr>
            </w:pPr>
            <w:r w:rsidRPr="00877CAB">
              <w:rPr>
                <w:rFonts w:ascii="Roboto Condensed" w:eastAsia="Times New Roman" w:hAnsi="Roboto Condensed" w:cs="Calibri"/>
                <w:color w:val="000000"/>
                <w:kern w:val="0"/>
                <w:sz w:val="18"/>
                <w:szCs w:val="18"/>
                <w:lang w:eastAsia="et-EE"/>
                <w14:ligatures w14:val="none"/>
              </w:rPr>
              <w:t> </w:t>
            </w:r>
          </w:p>
        </w:tc>
        <w:tc>
          <w:tcPr>
            <w:tcW w:w="2935" w:type="dxa"/>
            <w:gridSpan w:val="2"/>
            <w:tcBorders>
              <w:top w:val="single" w:sz="4" w:space="0" w:color="auto"/>
              <w:left w:val="single" w:sz="12" w:space="0" w:color="auto"/>
              <w:bottom w:val="nil"/>
              <w:right w:val="nil"/>
            </w:tcBorders>
            <w:shd w:val="clear" w:color="auto" w:fill="auto"/>
            <w:noWrap/>
            <w:vAlign w:val="center"/>
            <w:hideMark/>
          </w:tcPr>
          <w:p w14:paraId="66354156" w14:textId="77777777" w:rsidR="00877CAB" w:rsidRPr="00877CAB" w:rsidRDefault="00877CAB" w:rsidP="002B6B57">
            <w:pPr>
              <w:pStyle w:val="Tabelid"/>
              <w:jc w:val="center"/>
            </w:pPr>
            <w:r w:rsidRPr="00877CAB">
              <w:t>31. detsember 2021</w:t>
            </w:r>
          </w:p>
        </w:tc>
        <w:tc>
          <w:tcPr>
            <w:tcW w:w="2943" w:type="dxa"/>
            <w:gridSpan w:val="2"/>
            <w:tcBorders>
              <w:top w:val="single" w:sz="4" w:space="0" w:color="auto"/>
              <w:left w:val="nil"/>
              <w:bottom w:val="nil"/>
              <w:right w:val="nil"/>
            </w:tcBorders>
            <w:shd w:val="clear" w:color="auto" w:fill="auto"/>
            <w:vAlign w:val="center"/>
            <w:hideMark/>
          </w:tcPr>
          <w:p w14:paraId="24187F66" w14:textId="77777777" w:rsidR="00877CAB" w:rsidRPr="00877CAB" w:rsidRDefault="00877CAB" w:rsidP="002B6B57">
            <w:pPr>
              <w:pStyle w:val="Tabelid"/>
              <w:jc w:val="center"/>
            </w:pPr>
            <w:r w:rsidRPr="00877CAB">
              <w:t>31. detsember 2022</w:t>
            </w:r>
          </w:p>
        </w:tc>
        <w:tc>
          <w:tcPr>
            <w:tcW w:w="1471" w:type="dxa"/>
            <w:tcBorders>
              <w:top w:val="single" w:sz="4" w:space="0" w:color="auto"/>
              <w:left w:val="nil"/>
              <w:bottom w:val="nil"/>
              <w:right w:val="nil"/>
            </w:tcBorders>
            <w:shd w:val="clear" w:color="auto" w:fill="auto"/>
            <w:vAlign w:val="center"/>
            <w:hideMark/>
          </w:tcPr>
          <w:p w14:paraId="5ADC28E5" w14:textId="77777777" w:rsidR="00877CAB" w:rsidRPr="00877CAB" w:rsidRDefault="00877CAB" w:rsidP="002B6B57">
            <w:pPr>
              <w:pStyle w:val="Tabelid"/>
              <w:jc w:val="center"/>
            </w:pPr>
            <w:r w:rsidRPr="00877CAB">
              <w:t>Muutus</w:t>
            </w:r>
          </w:p>
        </w:tc>
      </w:tr>
      <w:tr w:rsidR="00877CAB" w:rsidRPr="00877CAB" w14:paraId="20BF4D6D" w14:textId="77777777" w:rsidTr="005144A8">
        <w:trPr>
          <w:trHeight w:val="315"/>
        </w:trPr>
        <w:tc>
          <w:tcPr>
            <w:tcW w:w="2671" w:type="dxa"/>
            <w:tcBorders>
              <w:left w:val="nil"/>
              <w:bottom w:val="single" w:sz="12" w:space="0" w:color="auto"/>
              <w:right w:val="single" w:sz="12" w:space="0" w:color="auto"/>
            </w:tcBorders>
            <w:shd w:val="clear" w:color="auto" w:fill="auto"/>
            <w:noWrap/>
            <w:vAlign w:val="center"/>
            <w:hideMark/>
          </w:tcPr>
          <w:p w14:paraId="36CA6AFD" w14:textId="77777777" w:rsidR="00877CAB" w:rsidRPr="00877CAB" w:rsidRDefault="00877CAB" w:rsidP="00877CAB">
            <w:pPr>
              <w:spacing w:after="0" w:line="240" w:lineRule="auto"/>
              <w:jc w:val="both"/>
              <w:rPr>
                <w:rFonts w:ascii="Roboto Condensed" w:eastAsia="Times New Roman" w:hAnsi="Roboto Condensed" w:cs="Calibri"/>
                <w:b/>
                <w:bCs/>
                <w:color w:val="000000"/>
                <w:kern w:val="0"/>
                <w:sz w:val="20"/>
                <w:szCs w:val="20"/>
                <w:lang w:eastAsia="et-EE"/>
                <w14:ligatures w14:val="none"/>
              </w:rPr>
            </w:pPr>
            <w:r w:rsidRPr="00877CAB">
              <w:rPr>
                <w:rFonts w:ascii="Roboto Condensed" w:eastAsia="Times New Roman" w:hAnsi="Roboto Condensed" w:cs="Calibri"/>
                <w:b/>
                <w:bCs/>
                <w:color w:val="000000"/>
                <w:kern w:val="0"/>
                <w:sz w:val="20"/>
                <w:szCs w:val="20"/>
                <w:lang w:eastAsia="et-EE"/>
                <w14:ligatures w14:val="none"/>
              </w:rPr>
              <w:t> </w:t>
            </w:r>
          </w:p>
        </w:tc>
        <w:tc>
          <w:tcPr>
            <w:tcW w:w="1455" w:type="dxa"/>
            <w:tcBorders>
              <w:top w:val="single" w:sz="8" w:space="0" w:color="000000"/>
              <w:left w:val="single" w:sz="12" w:space="0" w:color="auto"/>
              <w:bottom w:val="single" w:sz="12" w:space="0" w:color="000000"/>
              <w:right w:val="nil"/>
            </w:tcBorders>
            <w:shd w:val="clear" w:color="auto" w:fill="auto"/>
            <w:vAlign w:val="center"/>
            <w:hideMark/>
          </w:tcPr>
          <w:p w14:paraId="0E77429B" w14:textId="77777777" w:rsidR="00877CAB" w:rsidRPr="002B6B57" w:rsidRDefault="00877CAB" w:rsidP="002B6B57">
            <w:pPr>
              <w:pStyle w:val="Tabelid"/>
              <w:jc w:val="right"/>
              <w:rPr>
                <w:b/>
                <w:bCs/>
              </w:rPr>
            </w:pPr>
            <w:r w:rsidRPr="002B6B57">
              <w:rPr>
                <w:b/>
                <w:bCs/>
              </w:rPr>
              <w:t>mln eurot</w:t>
            </w:r>
          </w:p>
        </w:tc>
        <w:tc>
          <w:tcPr>
            <w:tcW w:w="1480" w:type="dxa"/>
            <w:tcBorders>
              <w:top w:val="single" w:sz="8" w:space="0" w:color="000000"/>
              <w:left w:val="nil"/>
              <w:bottom w:val="single" w:sz="12" w:space="0" w:color="000000"/>
              <w:right w:val="nil"/>
            </w:tcBorders>
            <w:shd w:val="clear" w:color="auto" w:fill="auto"/>
            <w:vAlign w:val="center"/>
            <w:hideMark/>
          </w:tcPr>
          <w:p w14:paraId="1042EDDB" w14:textId="77777777" w:rsidR="00877CAB" w:rsidRPr="002B6B57" w:rsidRDefault="00877CAB" w:rsidP="002B6B57">
            <w:pPr>
              <w:pStyle w:val="Tabelid"/>
              <w:jc w:val="right"/>
              <w:rPr>
                <w:b/>
                <w:bCs/>
              </w:rPr>
            </w:pPr>
            <w:r w:rsidRPr="002B6B57">
              <w:rPr>
                <w:b/>
                <w:bCs/>
              </w:rPr>
              <w:t>% SKPst</w:t>
            </w:r>
          </w:p>
        </w:tc>
        <w:tc>
          <w:tcPr>
            <w:tcW w:w="1472" w:type="dxa"/>
            <w:tcBorders>
              <w:top w:val="single" w:sz="8" w:space="0" w:color="000000"/>
              <w:left w:val="nil"/>
              <w:bottom w:val="single" w:sz="12" w:space="0" w:color="000000"/>
              <w:right w:val="nil"/>
            </w:tcBorders>
            <w:shd w:val="clear" w:color="auto" w:fill="auto"/>
            <w:noWrap/>
            <w:vAlign w:val="center"/>
            <w:hideMark/>
          </w:tcPr>
          <w:p w14:paraId="72ABB137" w14:textId="77777777" w:rsidR="00877CAB" w:rsidRPr="002B6B57" w:rsidRDefault="00877CAB" w:rsidP="002B6B57">
            <w:pPr>
              <w:pStyle w:val="Tabelid"/>
              <w:jc w:val="right"/>
              <w:rPr>
                <w:b/>
                <w:bCs/>
              </w:rPr>
            </w:pPr>
            <w:r w:rsidRPr="002B6B57">
              <w:rPr>
                <w:b/>
                <w:bCs/>
              </w:rPr>
              <w:t>mln eurot</w:t>
            </w:r>
          </w:p>
        </w:tc>
        <w:tc>
          <w:tcPr>
            <w:tcW w:w="1471" w:type="dxa"/>
            <w:tcBorders>
              <w:top w:val="single" w:sz="8" w:space="0" w:color="000000"/>
              <w:left w:val="nil"/>
              <w:bottom w:val="single" w:sz="12" w:space="0" w:color="000000"/>
              <w:right w:val="nil"/>
            </w:tcBorders>
            <w:shd w:val="clear" w:color="auto" w:fill="auto"/>
            <w:noWrap/>
            <w:vAlign w:val="center"/>
            <w:hideMark/>
          </w:tcPr>
          <w:p w14:paraId="3FBA6FD6" w14:textId="77777777" w:rsidR="00877CAB" w:rsidRPr="002B6B57" w:rsidRDefault="00877CAB" w:rsidP="002B6B57">
            <w:pPr>
              <w:pStyle w:val="Tabelid"/>
              <w:jc w:val="right"/>
              <w:rPr>
                <w:b/>
                <w:bCs/>
              </w:rPr>
            </w:pPr>
            <w:r w:rsidRPr="002B6B57">
              <w:rPr>
                <w:b/>
                <w:bCs/>
              </w:rPr>
              <w:t>% SKPst</w:t>
            </w:r>
          </w:p>
        </w:tc>
        <w:tc>
          <w:tcPr>
            <w:tcW w:w="1471" w:type="dxa"/>
            <w:tcBorders>
              <w:top w:val="single" w:sz="8" w:space="0" w:color="000000"/>
              <w:left w:val="nil"/>
              <w:bottom w:val="single" w:sz="12" w:space="0" w:color="000000"/>
              <w:right w:val="nil"/>
            </w:tcBorders>
            <w:shd w:val="clear" w:color="auto" w:fill="auto"/>
            <w:noWrap/>
            <w:vAlign w:val="center"/>
            <w:hideMark/>
          </w:tcPr>
          <w:p w14:paraId="6E612B19" w14:textId="77777777" w:rsidR="00877CAB" w:rsidRPr="002B6B57" w:rsidRDefault="00877CAB" w:rsidP="002B6B57">
            <w:pPr>
              <w:pStyle w:val="Tabelid"/>
              <w:jc w:val="right"/>
              <w:rPr>
                <w:b/>
                <w:bCs/>
              </w:rPr>
            </w:pPr>
            <w:r w:rsidRPr="002B6B57">
              <w:rPr>
                <w:b/>
                <w:bCs/>
              </w:rPr>
              <w:t>% SKPst</w:t>
            </w:r>
          </w:p>
        </w:tc>
      </w:tr>
      <w:tr w:rsidR="00877CAB" w:rsidRPr="00877CAB" w14:paraId="6A9DF501" w14:textId="77777777" w:rsidTr="005144A8">
        <w:trPr>
          <w:trHeight w:val="315"/>
        </w:trPr>
        <w:tc>
          <w:tcPr>
            <w:tcW w:w="2671" w:type="dxa"/>
            <w:tcBorders>
              <w:top w:val="single" w:sz="12" w:space="0" w:color="auto"/>
              <w:left w:val="nil"/>
              <w:bottom w:val="nil"/>
              <w:right w:val="single" w:sz="12" w:space="0" w:color="000000"/>
            </w:tcBorders>
            <w:shd w:val="clear" w:color="auto" w:fill="auto"/>
            <w:noWrap/>
            <w:vAlign w:val="center"/>
            <w:hideMark/>
          </w:tcPr>
          <w:p w14:paraId="660A2570" w14:textId="77777777" w:rsidR="00877CAB" w:rsidRPr="002B6B57" w:rsidRDefault="00877CAB" w:rsidP="002B6B57">
            <w:pPr>
              <w:pStyle w:val="Tabelid"/>
              <w:rPr>
                <w:b/>
                <w:bCs/>
              </w:rPr>
            </w:pPr>
            <w:r w:rsidRPr="002B6B57">
              <w:rPr>
                <w:b/>
                <w:bCs/>
              </w:rPr>
              <w:t>Valitsussektor</w:t>
            </w:r>
          </w:p>
        </w:tc>
        <w:tc>
          <w:tcPr>
            <w:tcW w:w="1455" w:type="dxa"/>
            <w:tcBorders>
              <w:top w:val="single" w:sz="4" w:space="0" w:color="FFFFFF"/>
              <w:left w:val="single" w:sz="4" w:space="0" w:color="FFFFFF"/>
              <w:bottom w:val="single" w:sz="4" w:space="0" w:color="FFFFFF"/>
              <w:right w:val="single" w:sz="4" w:space="0" w:color="FFFFFF"/>
            </w:tcBorders>
            <w:shd w:val="clear" w:color="auto" w:fill="auto"/>
            <w:vAlign w:val="center"/>
            <w:hideMark/>
          </w:tcPr>
          <w:p w14:paraId="2E4B2789" w14:textId="77777777" w:rsidR="00877CAB" w:rsidRPr="00877CAB" w:rsidRDefault="00877CAB" w:rsidP="002B6B57">
            <w:pPr>
              <w:pStyle w:val="Tabelid"/>
              <w:jc w:val="right"/>
            </w:pPr>
            <w:r w:rsidRPr="00877CAB">
              <w:t>5 534,1</w:t>
            </w:r>
          </w:p>
        </w:tc>
        <w:tc>
          <w:tcPr>
            <w:tcW w:w="1480" w:type="dxa"/>
            <w:tcBorders>
              <w:top w:val="single" w:sz="4" w:space="0" w:color="FFFFFF"/>
              <w:left w:val="nil"/>
              <w:bottom w:val="single" w:sz="4" w:space="0" w:color="FFFFFF"/>
              <w:right w:val="single" w:sz="4" w:space="0" w:color="FFFFFF"/>
            </w:tcBorders>
            <w:shd w:val="clear" w:color="auto" w:fill="auto"/>
            <w:vAlign w:val="center"/>
            <w:hideMark/>
          </w:tcPr>
          <w:p w14:paraId="14387130" w14:textId="77777777" w:rsidR="00877CAB" w:rsidRPr="00877CAB" w:rsidRDefault="00877CAB" w:rsidP="002B6B57">
            <w:pPr>
              <w:pStyle w:val="Tabelid"/>
              <w:jc w:val="right"/>
            </w:pPr>
            <w:r w:rsidRPr="00877CAB">
              <w:t>17,8</w:t>
            </w:r>
          </w:p>
        </w:tc>
        <w:tc>
          <w:tcPr>
            <w:tcW w:w="1472" w:type="dxa"/>
            <w:tcBorders>
              <w:top w:val="single" w:sz="4" w:space="0" w:color="FFFFFF"/>
              <w:left w:val="nil"/>
              <w:bottom w:val="single" w:sz="4" w:space="0" w:color="FFFFFF"/>
              <w:right w:val="single" w:sz="4" w:space="0" w:color="FFFFFF"/>
            </w:tcBorders>
            <w:shd w:val="clear" w:color="auto" w:fill="auto"/>
            <w:vAlign w:val="center"/>
            <w:hideMark/>
          </w:tcPr>
          <w:p w14:paraId="545AFDAD" w14:textId="77777777" w:rsidR="00877CAB" w:rsidRPr="00877CAB" w:rsidRDefault="00877CAB" w:rsidP="002B6B57">
            <w:pPr>
              <w:pStyle w:val="Tabelid"/>
              <w:jc w:val="right"/>
            </w:pPr>
            <w:r w:rsidRPr="00877CAB">
              <w:t>6 657,5</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41C2BB60" w14:textId="77777777" w:rsidR="00877CAB" w:rsidRPr="00877CAB" w:rsidRDefault="00877CAB" w:rsidP="002B6B57">
            <w:pPr>
              <w:pStyle w:val="Tabelid"/>
              <w:jc w:val="right"/>
            </w:pPr>
            <w:r w:rsidRPr="00877CAB">
              <w:t>18,5</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669B306F" w14:textId="77777777" w:rsidR="00877CAB" w:rsidRPr="00877CAB" w:rsidRDefault="00877CAB" w:rsidP="002B6B57">
            <w:pPr>
              <w:pStyle w:val="Tabelid"/>
              <w:jc w:val="right"/>
            </w:pPr>
            <w:r w:rsidRPr="00877CAB">
              <w:t>0,7</w:t>
            </w:r>
          </w:p>
        </w:tc>
      </w:tr>
      <w:tr w:rsidR="00877CAB" w:rsidRPr="00877CAB" w14:paraId="31DE4213" w14:textId="77777777" w:rsidTr="00877CAB">
        <w:trPr>
          <w:trHeight w:val="300"/>
        </w:trPr>
        <w:tc>
          <w:tcPr>
            <w:tcW w:w="2671" w:type="dxa"/>
            <w:tcBorders>
              <w:top w:val="nil"/>
              <w:left w:val="nil"/>
              <w:bottom w:val="nil"/>
              <w:right w:val="single" w:sz="12" w:space="0" w:color="000000"/>
            </w:tcBorders>
            <w:shd w:val="clear" w:color="000000" w:fill="D9D9D6"/>
            <w:noWrap/>
            <w:vAlign w:val="center"/>
            <w:hideMark/>
          </w:tcPr>
          <w:p w14:paraId="48CD09AB" w14:textId="77777777" w:rsidR="00877CAB" w:rsidRPr="002B6B57" w:rsidRDefault="00877CAB" w:rsidP="002B6B57">
            <w:pPr>
              <w:pStyle w:val="Tabelid"/>
              <w:rPr>
                <w:b/>
                <w:bCs/>
              </w:rPr>
            </w:pPr>
            <w:r w:rsidRPr="002B6B57">
              <w:rPr>
                <w:b/>
                <w:bCs/>
              </w:rPr>
              <w:t>Kodumaine võlg</w:t>
            </w:r>
          </w:p>
        </w:tc>
        <w:tc>
          <w:tcPr>
            <w:tcW w:w="1455" w:type="dxa"/>
            <w:tcBorders>
              <w:top w:val="nil"/>
              <w:left w:val="nil"/>
              <w:bottom w:val="nil"/>
              <w:right w:val="nil"/>
            </w:tcBorders>
            <w:shd w:val="clear" w:color="000000" w:fill="D9D9D6"/>
            <w:noWrap/>
            <w:vAlign w:val="center"/>
            <w:hideMark/>
          </w:tcPr>
          <w:p w14:paraId="7CF8CAF2" w14:textId="77777777" w:rsidR="00877CAB" w:rsidRPr="00877CAB" w:rsidRDefault="00877CAB" w:rsidP="002B6B57">
            <w:pPr>
              <w:pStyle w:val="Tabelid"/>
              <w:jc w:val="right"/>
            </w:pPr>
            <w:r w:rsidRPr="00877CAB">
              <w:t>1737,9</w:t>
            </w:r>
          </w:p>
        </w:tc>
        <w:tc>
          <w:tcPr>
            <w:tcW w:w="1480" w:type="dxa"/>
            <w:tcBorders>
              <w:top w:val="nil"/>
              <w:left w:val="nil"/>
              <w:bottom w:val="nil"/>
              <w:right w:val="nil"/>
            </w:tcBorders>
            <w:shd w:val="clear" w:color="000000" w:fill="D9D9D6"/>
            <w:noWrap/>
            <w:vAlign w:val="center"/>
            <w:hideMark/>
          </w:tcPr>
          <w:p w14:paraId="6F8EA058" w14:textId="77777777" w:rsidR="00877CAB" w:rsidRPr="00877CAB" w:rsidRDefault="00877CAB" w:rsidP="002B6B57">
            <w:pPr>
              <w:pStyle w:val="Tabelid"/>
              <w:jc w:val="right"/>
            </w:pPr>
            <w:r w:rsidRPr="00877CAB">
              <w:t>5,6</w:t>
            </w:r>
          </w:p>
        </w:tc>
        <w:tc>
          <w:tcPr>
            <w:tcW w:w="1472" w:type="dxa"/>
            <w:tcBorders>
              <w:top w:val="nil"/>
              <w:left w:val="nil"/>
              <w:bottom w:val="nil"/>
              <w:right w:val="nil"/>
            </w:tcBorders>
            <w:shd w:val="clear" w:color="000000" w:fill="D9D9D6"/>
            <w:noWrap/>
            <w:vAlign w:val="center"/>
            <w:hideMark/>
          </w:tcPr>
          <w:p w14:paraId="4DAA48AD" w14:textId="77777777" w:rsidR="00877CAB" w:rsidRPr="00877CAB" w:rsidRDefault="00877CAB" w:rsidP="002B6B57">
            <w:pPr>
              <w:pStyle w:val="Tabelid"/>
              <w:jc w:val="right"/>
            </w:pPr>
            <w:r w:rsidRPr="00877CAB">
              <w:t>1782</w:t>
            </w:r>
          </w:p>
        </w:tc>
        <w:tc>
          <w:tcPr>
            <w:tcW w:w="1471" w:type="dxa"/>
            <w:tcBorders>
              <w:top w:val="nil"/>
              <w:left w:val="nil"/>
              <w:bottom w:val="nil"/>
              <w:right w:val="nil"/>
            </w:tcBorders>
            <w:shd w:val="clear" w:color="000000" w:fill="D9D9D6"/>
            <w:noWrap/>
            <w:vAlign w:val="center"/>
            <w:hideMark/>
          </w:tcPr>
          <w:p w14:paraId="18B306AB" w14:textId="77777777" w:rsidR="00877CAB" w:rsidRPr="00877CAB" w:rsidRDefault="00877CAB" w:rsidP="002B6B57">
            <w:pPr>
              <w:pStyle w:val="Tabelid"/>
              <w:jc w:val="right"/>
            </w:pPr>
            <w:r w:rsidRPr="00877CAB">
              <w:t>4,9</w:t>
            </w:r>
          </w:p>
        </w:tc>
        <w:tc>
          <w:tcPr>
            <w:tcW w:w="1471" w:type="dxa"/>
            <w:tcBorders>
              <w:top w:val="nil"/>
              <w:left w:val="nil"/>
              <w:bottom w:val="nil"/>
              <w:right w:val="nil"/>
            </w:tcBorders>
            <w:shd w:val="clear" w:color="000000" w:fill="D9D9D6"/>
            <w:noWrap/>
            <w:vAlign w:val="center"/>
            <w:hideMark/>
          </w:tcPr>
          <w:p w14:paraId="27137E3A" w14:textId="77777777" w:rsidR="00877CAB" w:rsidRPr="00877CAB" w:rsidRDefault="00877CAB" w:rsidP="002B6B57">
            <w:pPr>
              <w:pStyle w:val="Tabelid"/>
              <w:jc w:val="right"/>
            </w:pPr>
            <w:r w:rsidRPr="00877CAB">
              <w:t>-0,6</w:t>
            </w:r>
          </w:p>
        </w:tc>
      </w:tr>
      <w:tr w:rsidR="00877CAB" w:rsidRPr="00877CAB" w14:paraId="4384F8D2" w14:textId="77777777" w:rsidTr="00877CAB">
        <w:trPr>
          <w:trHeight w:val="300"/>
        </w:trPr>
        <w:tc>
          <w:tcPr>
            <w:tcW w:w="2671" w:type="dxa"/>
            <w:tcBorders>
              <w:top w:val="nil"/>
              <w:left w:val="nil"/>
              <w:bottom w:val="nil"/>
              <w:right w:val="single" w:sz="12" w:space="0" w:color="000000"/>
            </w:tcBorders>
            <w:shd w:val="clear" w:color="auto" w:fill="auto"/>
            <w:noWrap/>
            <w:vAlign w:val="center"/>
            <w:hideMark/>
          </w:tcPr>
          <w:p w14:paraId="3699A5EC" w14:textId="77777777" w:rsidR="00877CAB" w:rsidRPr="002B6B57" w:rsidRDefault="00877CAB" w:rsidP="002B6B57">
            <w:pPr>
              <w:pStyle w:val="Tabelid"/>
              <w:rPr>
                <w:b/>
                <w:bCs/>
              </w:rPr>
            </w:pPr>
            <w:proofErr w:type="spellStart"/>
            <w:r w:rsidRPr="002B6B57">
              <w:rPr>
                <w:b/>
                <w:bCs/>
              </w:rPr>
              <w:t>Välisvõlg</w:t>
            </w:r>
            <w:proofErr w:type="spellEnd"/>
          </w:p>
        </w:tc>
        <w:tc>
          <w:tcPr>
            <w:tcW w:w="1455" w:type="dxa"/>
            <w:tcBorders>
              <w:top w:val="single" w:sz="4" w:space="0" w:color="FFFFFF"/>
              <w:left w:val="single" w:sz="4" w:space="0" w:color="FFFFFF"/>
              <w:bottom w:val="single" w:sz="4" w:space="0" w:color="FFFFFF"/>
              <w:right w:val="single" w:sz="4" w:space="0" w:color="FFFFFF"/>
            </w:tcBorders>
            <w:shd w:val="clear" w:color="auto" w:fill="auto"/>
            <w:vAlign w:val="center"/>
            <w:hideMark/>
          </w:tcPr>
          <w:p w14:paraId="3F7F3277" w14:textId="77777777" w:rsidR="00877CAB" w:rsidRPr="00877CAB" w:rsidRDefault="00877CAB" w:rsidP="002B6B57">
            <w:pPr>
              <w:pStyle w:val="Tabelid"/>
              <w:jc w:val="right"/>
            </w:pPr>
            <w:r w:rsidRPr="00877CAB">
              <w:t>3 796,2</w:t>
            </w:r>
          </w:p>
        </w:tc>
        <w:tc>
          <w:tcPr>
            <w:tcW w:w="1480" w:type="dxa"/>
            <w:tcBorders>
              <w:top w:val="single" w:sz="4" w:space="0" w:color="FFFFFF"/>
              <w:left w:val="nil"/>
              <w:bottom w:val="single" w:sz="4" w:space="0" w:color="FFFFFF"/>
              <w:right w:val="single" w:sz="4" w:space="0" w:color="FFFFFF"/>
            </w:tcBorders>
            <w:shd w:val="clear" w:color="auto" w:fill="auto"/>
            <w:vAlign w:val="center"/>
            <w:hideMark/>
          </w:tcPr>
          <w:p w14:paraId="0DBFD002" w14:textId="77777777" w:rsidR="00877CAB" w:rsidRPr="00877CAB" w:rsidRDefault="00877CAB" w:rsidP="002B6B57">
            <w:pPr>
              <w:pStyle w:val="Tabelid"/>
              <w:jc w:val="right"/>
            </w:pPr>
            <w:r w:rsidRPr="00877CAB">
              <w:t>12,2</w:t>
            </w:r>
          </w:p>
        </w:tc>
        <w:tc>
          <w:tcPr>
            <w:tcW w:w="1472" w:type="dxa"/>
            <w:tcBorders>
              <w:top w:val="single" w:sz="4" w:space="0" w:color="FFFFFF"/>
              <w:left w:val="nil"/>
              <w:bottom w:val="single" w:sz="4" w:space="0" w:color="FFFFFF"/>
              <w:right w:val="single" w:sz="4" w:space="0" w:color="FFFFFF"/>
            </w:tcBorders>
            <w:shd w:val="clear" w:color="auto" w:fill="auto"/>
            <w:vAlign w:val="center"/>
            <w:hideMark/>
          </w:tcPr>
          <w:p w14:paraId="129B88DD" w14:textId="77777777" w:rsidR="00877CAB" w:rsidRPr="00877CAB" w:rsidRDefault="00877CAB" w:rsidP="002B6B57">
            <w:pPr>
              <w:pStyle w:val="Tabelid"/>
              <w:jc w:val="right"/>
            </w:pPr>
            <w:r w:rsidRPr="00877CAB">
              <w:t>4 875,5</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73DE393C" w14:textId="77777777" w:rsidR="00877CAB" w:rsidRPr="00877CAB" w:rsidRDefault="00877CAB" w:rsidP="002B6B57">
            <w:pPr>
              <w:pStyle w:val="Tabelid"/>
              <w:jc w:val="right"/>
            </w:pPr>
            <w:r w:rsidRPr="00877CAB">
              <w:t>13,5</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2F46A06B" w14:textId="77777777" w:rsidR="00877CAB" w:rsidRPr="00877CAB" w:rsidRDefault="00877CAB" w:rsidP="002B6B57">
            <w:pPr>
              <w:pStyle w:val="Tabelid"/>
              <w:jc w:val="right"/>
            </w:pPr>
            <w:r w:rsidRPr="00877CAB">
              <w:t>1,4</w:t>
            </w:r>
          </w:p>
        </w:tc>
      </w:tr>
      <w:tr w:rsidR="00877CAB" w:rsidRPr="00877CAB" w14:paraId="3C9A667D" w14:textId="77777777" w:rsidTr="00877CAB">
        <w:trPr>
          <w:trHeight w:val="300"/>
        </w:trPr>
        <w:tc>
          <w:tcPr>
            <w:tcW w:w="2671" w:type="dxa"/>
            <w:tcBorders>
              <w:top w:val="nil"/>
              <w:left w:val="nil"/>
              <w:bottom w:val="nil"/>
              <w:right w:val="single" w:sz="12" w:space="0" w:color="000000"/>
            </w:tcBorders>
            <w:shd w:val="clear" w:color="000000" w:fill="D9D9D6"/>
            <w:noWrap/>
            <w:vAlign w:val="center"/>
            <w:hideMark/>
          </w:tcPr>
          <w:p w14:paraId="5F4A62DC" w14:textId="77777777" w:rsidR="00877CAB" w:rsidRPr="002B6B57" w:rsidRDefault="00877CAB" w:rsidP="002B6B57">
            <w:pPr>
              <w:pStyle w:val="Tabelid"/>
              <w:rPr>
                <w:b/>
                <w:bCs/>
              </w:rPr>
            </w:pPr>
            <w:bookmarkStart w:id="285" w:name="RANGE!B350"/>
            <w:r w:rsidRPr="002B6B57">
              <w:rPr>
                <w:b/>
                <w:bCs/>
              </w:rPr>
              <w:t>Keskvalitsus</w:t>
            </w:r>
            <w:r w:rsidRPr="002B6B57">
              <w:rPr>
                <w:b/>
                <w:bCs/>
                <w:vertAlign w:val="superscript"/>
              </w:rPr>
              <w:t>[1]</w:t>
            </w:r>
            <w:bookmarkEnd w:id="285"/>
          </w:p>
        </w:tc>
        <w:tc>
          <w:tcPr>
            <w:tcW w:w="1455" w:type="dxa"/>
            <w:tcBorders>
              <w:top w:val="nil"/>
              <w:left w:val="nil"/>
              <w:bottom w:val="nil"/>
              <w:right w:val="nil"/>
            </w:tcBorders>
            <w:shd w:val="clear" w:color="000000" w:fill="D9D9D6"/>
            <w:noWrap/>
            <w:vAlign w:val="center"/>
            <w:hideMark/>
          </w:tcPr>
          <w:p w14:paraId="43BF7234" w14:textId="77777777" w:rsidR="00877CAB" w:rsidRPr="00877CAB" w:rsidRDefault="00877CAB" w:rsidP="002B6B57">
            <w:pPr>
              <w:pStyle w:val="Tabelid"/>
              <w:jc w:val="right"/>
            </w:pPr>
            <w:r w:rsidRPr="00877CAB">
              <w:t>5562,6</w:t>
            </w:r>
          </w:p>
        </w:tc>
        <w:tc>
          <w:tcPr>
            <w:tcW w:w="1480" w:type="dxa"/>
            <w:tcBorders>
              <w:top w:val="nil"/>
              <w:left w:val="nil"/>
              <w:bottom w:val="nil"/>
              <w:right w:val="nil"/>
            </w:tcBorders>
            <w:shd w:val="clear" w:color="000000" w:fill="D9D9D6"/>
            <w:noWrap/>
            <w:vAlign w:val="center"/>
            <w:hideMark/>
          </w:tcPr>
          <w:p w14:paraId="228D1E64" w14:textId="77777777" w:rsidR="00877CAB" w:rsidRPr="00877CAB" w:rsidRDefault="00877CAB" w:rsidP="002B6B57">
            <w:pPr>
              <w:pStyle w:val="Tabelid"/>
              <w:jc w:val="right"/>
            </w:pPr>
            <w:r w:rsidRPr="00877CAB">
              <w:t>17,8</w:t>
            </w:r>
          </w:p>
        </w:tc>
        <w:tc>
          <w:tcPr>
            <w:tcW w:w="1472" w:type="dxa"/>
            <w:tcBorders>
              <w:top w:val="nil"/>
              <w:left w:val="nil"/>
              <w:bottom w:val="nil"/>
              <w:right w:val="nil"/>
            </w:tcBorders>
            <w:shd w:val="clear" w:color="000000" w:fill="D9D9D6"/>
            <w:noWrap/>
            <w:vAlign w:val="center"/>
            <w:hideMark/>
          </w:tcPr>
          <w:p w14:paraId="1AD3B294" w14:textId="77777777" w:rsidR="00877CAB" w:rsidRPr="00877CAB" w:rsidRDefault="00877CAB" w:rsidP="002B6B57">
            <w:pPr>
              <w:pStyle w:val="Tabelid"/>
              <w:jc w:val="right"/>
            </w:pPr>
            <w:r w:rsidRPr="00877CAB">
              <w:t>6813,7</w:t>
            </w:r>
          </w:p>
        </w:tc>
        <w:tc>
          <w:tcPr>
            <w:tcW w:w="1471" w:type="dxa"/>
            <w:tcBorders>
              <w:top w:val="nil"/>
              <w:left w:val="nil"/>
              <w:bottom w:val="nil"/>
              <w:right w:val="nil"/>
            </w:tcBorders>
            <w:shd w:val="clear" w:color="000000" w:fill="D9D9D6"/>
            <w:noWrap/>
            <w:vAlign w:val="center"/>
            <w:hideMark/>
          </w:tcPr>
          <w:p w14:paraId="46769FD9" w14:textId="77777777" w:rsidR="00877CAB" w:rsidRPr="00877CAB" w:rsidRDefault="00877CAB" w:rsidP="002B6B57">
            <w:pPr>
              <w:pStyle w:val="Tabelid"/>
              <w:jc w:val="right"/>
            </w:pPr>
            <w:r w:rsidRPr="00877CAB">
              <w:t>18,9</w:t>
            </w:r>
          </w:p>
        </w:tc>
        <w:tc>
          <w:tcPr>
            <w:tcW w:w="1471" w:type="dxa"/>
            <w:tcBorders>
              <w:top w:val="nil"/>
              <w:left w:val="nil"/>
              <w:bottom w:val="nil"/>
              <w:right w:val="nil"/>
            </w:tcBorders>
            <w:shd w:val="clear" w:color="000000" w:fill="D9D9D6"/>
            <w:noWrap/>
            <w:vAlign w:val="center"/>
            <w:hideMark/>
          </w:tcPr>
          <w:p w14:paraId="4FDF17A1" w14:textId="77777777" w:rsidR="00877CAB" w:rsidRPr="00877CAB" w:rsidRDefault="00877CAB" w:rsidP="002B6B57">
            <w:pPr>
              <w:pStyle w:val="Tabelid"/>
              <w:jc w:val="right"/>
            </w:pPr>
            <w:r w:rsidRPr="00877CAB">
              <w:t>1,1</w:t>
            </w:r>
          </w:p>
        </w:tc>
      </w:tr>
      <w:tr w:rsidR="00877CAB" w:rsidRPr="00877CAB" w14:paraId="35F3C8B0" w14:textId="77777777" w:rsidTr="00877CAB">
        <w:trPr>
          <w:trHeight w:val="300"/>
        </w:trPr>
        <w:tc>
          <w:tcPr>
            <w:tcW w:w="2671" w:type="dxa"/>
            <w:tcBorders>
              <w:top w:val="nil"/>
              <w:left w:val="nil"/>
              <w:bottom w:val="nil"/>
              <w:right w:val="single" w:sz="12" w:space="0" w:color="000000"/>
            </w:tcBorders>
            <w:shd w:val="clear" w:color="auto" w:fill="auto"/>
            <w:noWrap/>
            <w:vAlign w:val="center"/>
            <w:hideMark/>
          </w:tcPr>
          <w:p w14:paraId="0A5A8B93" w14:textId="77777777" w:rsidR="00877CAB" w:rsidRPr="002B6B57" w:rsidRDefault="00877CAB" w:rsidP="002B6B57">
            <w:pPr>
              <w:pStyle w:val="Tabelid"/>
              <w:rPr>
                <w:b/>
                <w:bCs/>
              </w:rPr>
            </w:pPr>
            <w:r w:rsidRPr="002B6B57">
              <w:rPr>
                <w:b/>
                <w:bCs/>
              </w:rPr>
              <w:t>Kodumaine võlg</w:t>
            </w:r>
          </w:p>
        </w:tc>
        <w:tc>
          <w:tcPr>
            <w:tcW w:w="1455" w:type="dxa"/>
            <w:tcBorders>
              <w:top w:val="single" w:sz="4" w:space="0" w:color="FFFFFF"/>
              <w:left w:val="single" w:sz="4" w:space="0" w:color="FFFFFF"/>
              <w:bottom w:val="single" w:sz="4" w:space="0" w:color="FFFFFF"/>
              <w:right w:val="single" w:sz="4" w:space="0" w:color="FFFFFF"/>
            </w:tcBorders>
            <w:shd w:val="clear" w:color="auto" w:fill="auto"/>
            <w:vAlign w:val="center"/>
            <w:hideMark/>
          </w:tcPr>
          <w:p w14:paraId="4EA948CA" w14:textId="77777777" w:rsidR="00877CAB" w:rsidRPr="00877CAB" w:rsidRDefault="00877CAB" w:rsidP="002B6B57">
            <w:pPr>
              <w:pStyle w:val="Tabelid"/>
              <w:jc w:val="right"/>
            </w:pPr>
            <w:r w:rsidRPr="00877CAB">
              <w:t>1 988,7</w:t>
            </w:r>
          </w:p>
        </w:tc>
        <w:tc>
          <w:tcPr>
            <w:tcW w:w="1480" w:type="dxa"/>
            <w:tcBorders>
              <w:top w:val="single" w:sz="4" w:space="0" w:color="FFFFFF"/>
              <w:left w:val="nil"/>
              <w:bottom w:val="single" w:sz="4" w:space="0" w:color="FFFFFF"/>
              <w:right w:val="single" w:sz="4" w:space="0" w:color="FFFFFF"/>
            </w:tcBorders>
            <w:shd w:val="clear" w:color="auto" w:fill="auto"/>
            <w:vAlign w:val="center"/>
            <w:hideMark/>
          </w:tcPr>
          <w:p w14:paraId="4F5A44AC" w14:textId="77777777" w:rsidR="00877CAB" w:rsidRPr="00877CAB" w:rsidRDefault="00877CAB" w:rsidP="002B6B57">
            <w:pPr>
              <w:pStyle w:val="Tabelid"/>
              <w:jc w:val="right"/>
            </w:pPr>
            <w:r w:rsidRPr="00877CAB">
              <w:t>6,4</w:t>
            </w:r>
          </w:p>
        </w:tc>
        <w:tc>
          <w:tcPr>
            <w:tcW w:w="1472" w:type="dxa"/>
            <w:tcBorders>
              <w:top w:val="single" w:sz="4" w:space="0" w:color="FFFFFF"/>
              <w:left w:val="nil"/>
              <w:bottom w:val="single" w:sz="4" w:space="0" w:color="FFFFFF"/>
              <w:right w:val="single" w:sz="4" w:space="0" w:color="FFFFFF"/>
            </w:tcBorders>
            <w:shd w:val="clear" w:color="auto" w:fill="auto"/>
            <w:vAlign w:val="center"/>
            <w:hideMark/>
          </w:tcPr>
          <w:p w14:paraId="55096BC6" w14:textId="77777777" w:rsidR="00877CAB" w:rsidRPr="00877CAB" w:rsidRDefault="00877CAB" w:rsidP="002B6B57">
            <w:pPr>
              <w:pStyle w:val="Tabelid"/>
              <w:jc w:val="right"/>
            </w:pPr>
            <w:r w:rsidRPr="00877CAB">
              <w:t>2 205,1</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65787D58" w14:textId="77777777" w:rsidR="00877CAB" w:rsidRPr="00877CAB" w:rsidRDefault="00877CAB" w:rsidP="002B6B57">
            <w:pPr>
              <w:pStyle w:val="Tabelid"/>
              <w:jc w:val="right"/>
            </w:pPr>
            <w:r w:rsidRPr="00877CAB">
              <w:t>6,1</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5A6D80D1" w14:textId="77777777" w:rsidR="00877CAB" w:rsidRPr="00877CAB" w:rsidRDefault="00877CAB" w:rsidP="002B6B57">
            <w:pPr>
              <w:pStyle w:val="Tabelid"/>
              <w:jc w:val="right"/>
            </w:pPr>
            <w:r w:rsidRPr="00877CAB">
              <w:t>-0,3</w:t>
            </w:r>
          </w:p>
        </w:tc>
      </w:tr>
      <w:tr w:rsidR="00877CAB" w:rsidRPr="00877CAB" w14:paraId="5ADAC6A3" w14:textId="77777777" w:rsidTr="00877CAB">
        <w:trPr>
          <w:trHeight w:val="300"/>
        </w:trPr>
        <w:tc>
          <w:tcPr>
            <w:tcW w:w="2671" w:type="dxa"/>
            <w:tcBorders>
              <w:top w:val="nil"/>
              <w:left w:val="nil"/>
              <w:bottom w:val="nil"/>
              <w:right w:val="single" w:sz="12" w:space="0" w:color="000000"/>
            </w:tcBorders>
            <w:shd w:val="clear" w:color="000000" w:fill="D9D9D6"/>
            <w:noWrap/>
            <w:vAlign w:val="center"/>
            <w:hideMark/>
          </w:tcPr>
          <w:p w14:paraId="6466DDF4" w14:textId="77777777" w:rsidR="00877CAB" w:rsidRPr="002B6B57" w:rsidRDefault="00877CAB" w:rsidP="002B6B57">
            <w:pPr>
              <w:pStyle w:val="Tabelid"/>
              <w:rPr>
                <w:b/>
                <w:bCs/>
              </w:rPr>
            </w:pPr>
            <w:proofErr w:type="spellStart"/>
            <w:r w:rsidRPr="002B6B57">
              <w:rPr>
                <w:b/>
                <w:bCs/>
              </w:rPr>
              <w:t>Välisvõlg</w:t>
            </w:r>
            <w:proofErr w:type="spellEnd"/>
          </w:p>
        </w:tc>
        <w:tc>
          <w:tcPr>
            <w:tcW w:w="1455" w:type="dxa"/>
            <w:tcBorders>
              <w:top w:val="nil"/>
              <w:left w:val="nil"/>
              <w:bottom w:val="nil"/>
              <w:right w:val="nil"/>
            </w:tcBorders>
            <w:shd w:val="clear" w:color="000000" w:fill="D9D9D6"/>
            <w:noWrap/>
            <w:vAlign w:val="center"/>
            <w:hideMark/>
          </w:tcPr>
          <w:p w14:paraId="595DC78F" w14:textId="77777777" w:rsidR="00877CAB" w:rsidRPr="00877CAB" w:rsidRDefault="00877CAB" w:rsidP="002B6B57">
            <w:pPr>
              <w:pStyle w:val="Tabelid"/>
              <w:jc w:val="right"/>
            </w:pPr>
            <w:r w:rsidRPr="00877CAB">
              <w:t>3573,9</w:t>
            </w:r>
          </w:p>
        </w:tc>
        <w:tc>
          <w:tcPr>
            <w:tcW w:w="1480" w:type="dxa"/>
            <w:tcBorders>
              <w:top w:val="nil"/>
              <w:left w:val="nil"/>
              <w:bottom w:val="nil"/>
              <w:right w:val="nil"/>
            </w:tcBorders>
            <w:shd w:val="clear" w:color="000000" w:fill="D9D9D6"/>
            <w:noWrap/>
            <w:vAlign w:val="center"/>
            <w:hideMark/>
          </w:tcPr>
          <w:p w14:paraId="7DBDA4B1" w14:textId="77777777" w:rsidR="00877CAB" w:rsidRPr="00877CAB" w:rsidRDefault="00877CAB" w:rsidP="002B6B57">
            <w:pPr>
              <w:pStyle w:val="Tabelid"/>
              <w:jc w:val="right"/>
            </w:pPr>
            <w:r w:rsidRPr="00877CAB">
              <w:t>11,5</w:t>
            </w:r>
          </w:p>
        </w:tc>
        <w:tc>
          <w:tcPr>
            <w:tcW w:w="1472" w:type="dxa"/>
            <w:tcBorders>
              <w:top w:val="nil"/>
              <w:left w:val="nil"/>
              <w:bottom w:val="nil"/>
              <w:right w:val="nil"/>
            </w:tcBorders>
            <w:shd w:val="clear" w:color="000000" w:fill="D9D9D6"/>
            <w:noWrap/>
            <w:vAlign w:val="center"/>
            <w:hideMark/>
          </w:tcPr>
          <w:p w14:paraId="6F642225" w14:textId="77777777" w:rsidR="00877CAB" w:rsidRPr="00877CAB" w:rsidRDefault="00877CAB" w:rsidP="002B6B57">
            <w:pPr>
              <w:pStyle w:val="Tabelid"/>
              <w:jc w:val="right"/>
            </w:pPr>
            <w:r w:rsidRPr="00877CAB">
              <w:t>4608,5</w:t>
            </w:r>
          </w:p>
        </w:tc>
        <w:tc>
          <w:tcPr>
            <w:tcW w:w="1471" w:type="dxa"/>
            <w:tcBorders>
              <w:top w:val="nil"/>
              <w:left w:val="nil"/>
              <w:bottom w:val="nil"/>
              <w:right w:val="nil"/>
            </w:tcBorders>
            <w:shd w:val="clear" w:color="000000" w:fill="D9D9D6"/>
            <w:noWrap/>
            <w:vAlign w:val="center"/>
            <w:hideMark/>
          </w:tcPr>
          <w:p w14:paraId="6F7ECB6B" w14:textId="77777777" w:rsidR="00877CAB" w:rsidRPr="00877CAB" w:rsidRDefault="00877CAB" w:rsidP="002B6B57">
            <w:pPr>
              <w:pStyle w:val="Tabelid"/>
              <w:jc w:val="right"/>
            </w:pPr>
            <w:r w:rsidRPr="00877CAB">
              <w:t>12,8</w:t>
            </w:r>
          </w:p>
        </w:tc>
        <w:tc>
          <w:tcPr>
            <w:tcW w:w="1471" w:type="dxa"/>
            <w:tcBorders>
              <w:top w:val="nil"/>
              <w:left w:val="nil"/>
              <w:bottom w:val="nil"/>
              <w:right w:val="nil"/>
            </w:tcBorders>
            <w:shd w:val="clear" w:color="000000" w:fill="D9D9D6"/>
            <w:noWrap/>
            <w:vAlign w:val="center"/>
            <w:hideMark/>
          </w:tcPr>
          <w:p w14:paraId="6E4EA9F3" w14:textId="77777777" w:rsidR="00877CAB" w:rsidRPr="00877CAB" w:rsidRDefault="00877CAB" w:rsidP="002B6B57">
            <w:pPr>
              <w:pStyle w:val="Tabelid"/>
              <w:jc w:val="right"/>
            </w:pPr>
            <w:r w:rsidRPr="00877CAB">
              <w:t>1,3</w:t>
            </w:r>
          </w:p>
        </w:tc>
      </w:tr>
      <w:tr w:rsidR="00877CAB" w:rsidRPr="00877CAB" w14:paraId="26453E3A" w14:textId="77777777" w:rsidTr="00877CAB">
        <w:trPr>
          <w:trHeight w:val="300"/>
        </w:trPr>
        <w:tc>
          <w:tcPr>
            <w:tcW w:w="2671" w:type="dxa"/>
            <w:tcBorders>
              <w:top w:val="nil"/>
              <w:left w:val="nil"/>
              <w:bottom w:val="nil"/>
              <w:right w:val="single" w:sz="12" w:space="0" w:color="000000"/>
            </w:tcBorders>
            <w:shd w:val="clear" w:color="auto" w:fill="auto"/>
            <w:noWrap/>
            <w:vAlign w:val="center"/>
            <w:hideMark/>
          </w:tcPr>
          <w:p w14:paraId="160342B2" w14:textId="77777777" w:rsidR="00877CAB" w:rsidRPr="002B6B57" w:rsidRDefault="00877CAB" w:rsidP="002B6B57">
            <w:pPr>
              <w:pStyle w:val="Tabelid"/>
              <w:rPr>
                <w:b/>
                <w:bCs/>
              </w:rPr>
            </w:pPr>
            <w:r w:rsidRPr="002B6B57">
              <w:rPr>
                <w:b/>
                <w:bCs/>
              </w:rPr>
              <w:t>Kohalikud omavalitsused</w:t>
            </w:r>
          </w:p>
        </w:tc>
        <w:tc>
          <w:tcPr>
            <w:tcW w:w="1455" w:type="dxa"/>
            <w:tcBorders>
              <w:top w:val="single" w:sz="4" w:space="0" w:color="FFFFFF"/>
              <w:left w:val="single" w:sz="4" w:space="0" w:color="FFFFFF"/>
              <w:bottom w:val="single" w:sz="4" w:space="0" w:color="FFFFFF"/>
              <w:right w:val="single" w:sz="4" w:space="0" w:color="FFFFFF"/>
            </w:tcBorders>
            <w:shd w:val="clear" w:color="auto" w:fill="auto"/>
            <w:vAlign w:val="center"/>
            <w:hideMark/>
          </w:tcPr>
          <w:p w14:paraId="16225439" w14:textId="77777777" w:rsidR="00877CAB" w:rsidRPr="00877CAB" w:rsidRDefault="00877CAB" w:rsidP="002B6B57">
            <w:pPr>
              <w:pStyle w:val="Tabelid"/>
              <w:jc w:val="right"/>
            </w:pPr>
            <w:r w:rsidRPr="00877CAB">
              <w:t>908,7</w:t>
            </w:r>
          </w:p>
        </w:tc>
        <w:tc>
          <w:tcPr>
            <w:tcW w:w="1480" w:type="dxa"/>
            <w:tcBorders>
              <w:top w:val="single" w:sz="4" w:space="0" w:color="FFFFFF"/>
              <w:left w:val="nil"/>
              <w:bottom w:val="single" w:sz="4" w:space="0" w:color="FFFFFF"/>
              <w:right w:val="single" w:sz="4" w:space="0" w:color="FFFFFF"/>
            </w:tcBorders>
            <w:shd w:val="clear" w:color="auto" w:fill="auto"/>
            <w:vAlign w:val="center"/>
            <w:hideMark/>
          </w:tcPr>
          <w:p w14:paraId="3E05D2F8" w14:textId="77777777" w:rsidR="00877CAB" w:rsidRPr="00877CAB" w:rsidRDefault="00877CAB" w:rsidP="002B6B57">
            <w:pPr>
              <w:pStyle w:val="Tabelid"/>
              <w:jc w:val="right"/>
            </w:pPr>
            <w:r w:rsidRPr="00877CAB">
              <w:t>3,3</w:t>
            </w:r>
          </w:p>
        </w:tc>
        <w:tc>
          <w:tcPr>
            <w:tcW w:w="1472" w:type="dxa"/>
            <w:tcBorders>
              <w:top w:val="single" w:sz="4" w:space="0" w:color="FFFFFF"/>
              <w:left w:val="nil"/>
              <w:bottom w:val="single" w:sz="4" w:space="0" w:color="FFFFFF"/>
              <w:right w:val="single" w:sz="4" w:space="0" w:color="FFFFFF"/>
            </w:tcBorders>
            <w:shd w:val="clear" w:color="auto" w:fill="auto"/>
            <w:vAlign w:val="center"/>
            <w:hideMark/>
          </w:tcPr>
          <w:p w14:paraId="007B39C8" w14:textId="77777777" w:rsidR="00877CAB" w:rsidRPr="00877CAB" w:rsidRDefault="00877CAB" w:rsidP="002B6B57">
            <w:pPr>
              <w:pStyle w:val="Tabelid"/>
              <w:jc w:val="right"/>
            </w:pPr>
            <w:r w:rsidRPr="00877CAB">
              <w:t>988,6</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12645E4A" w14:textId="77777777" w:rsidR="00877CAB" w:rsidRPr="00877CAB" w:rsidRDefault="00877CAB" w:rsidP="002B6B57">
            <w:pPr>
              <w:pStyle w:val="Tabelid"/>
              <w:jc w:val="right"/>
            </w:pPr>
            <w:r w:rsidRPr="00877CAB">
              <w:t>3,2</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2F81EBF1" w14:textId="77777777" w:rsidR="00877CAB" w:rsidRPr="00877CAB" w:rsidRDefault="00877CAB" w:rsidP="002B6B57">
            <w:pPr>
              <w:pStyle w:val="Tabelid"/>
              <w:jc w:val="right"/>
            </w:pPr>
            <w:r w:rsidRPr="00877CAB">
              <w:t>-0,1</w:t>
            </w:r>
          </w:p>
        </w:tc>
      </w:tr>
      <w:tr w:rsidR="00877CAB" w:rsidRPr="00877CAB" w14:paraId="4D5A3398" w14:textId="77777777" w:rsidTr="00877CAB">
        <w:trPr>
          <w:trHeight w:val="300"/>
        </w:trPr>
        <w:tc>
          <w:tcPr>
            <w:tcW w:w="2671" w:type="dxa"/>
            <w:tcBorders>
              <w:top w:val="nil"/>
              <w:left w:val="nil"/>
              <w:bottom w:val="nil"/>
              <w:right w:val="single" w:sz="12" w:space="0" w:color="000000"/>
            </w:tcBorders>
            <w:shd w:val="clear" w:color="000000" w:fill="D9D9D6"/>
            <w:noWrap/>
            <w:vAlign w:val="center"/>
            <w:hideMark/>
          </w:tcPr>
          <w:p w14:paraId="497105B5" w14:textId="77777777" w:rsidR="00877CAB" w:rsidRPr="002B6B57" w:rsidRDefault="00877CAB" w:rsidP="002B6B57">
            <w:pPr>
              <w:pStyle w:val="Tabelid"/>
              <w:rPr>
                <w:b/>
                <w:bCs/>
              </w:rPr>
            </w:pPr>
            <w:r w:rsidRPr="002B6B57">
              <w:rPr>
                <w:b/>
                <w:bCs/>
              </w:rPr>
              <w:t>Kodumaine võlg</w:t>
            </w:r>
          </w:p>
        </w:tc>
        <w:tc>
          <w:tcPr>
            <w:tcW w:w="1455" w:type="dxa"/>
            <w:tcBorders>
              <w:top w:val="nil"/>
              <w:left w:val="nil"/>
              <w:bottom w:val="nil"/>
              <w:right w:val="nil"/>
            </w:tcBorders>
            <w:shd w:val="clear" w:color="000000" w:fill="D9D9D6"/>
            <w:noWrap/>
            <w:vAlign w:val="center"/>
            <w:hideMark/>
          </w:tcPr>
          <w:p w14:paraId="0FF4CFA7" w14:textId="77777777" w:rsidR="00877CAB" w:rsidRPr="00877CAB" w:rsidRDefault="00877CAB" w:rsidP="002B6B57">
            <w:pPr>
              <w:pStyle w:val="Tabelid"/>
              <w:jc w:val="right"/>
            </w:pPr>
            <w:r w:rsidRPr="00877CAB">
              <w:t>686,4</w:t>
            </w:r>
          </w:p>
        </w:tc>
        <w:tc>
          <w:tcPr>
            <w:tcW w:w="1480" w:type="dxa"/>
            <w:tcBorders>
              <w:top w:val="nil"/>
              <w:left w:val="nil"/>
              <w:bottom w:val="nil"/>
              <w:right w:val="nil"/>
            </w:tcBorders>
            <w:shd w:val="clear" w:color="000000" w:fill="D9D9D6"/>
            <w:noWrap/>
            <w:vAlign w:val="center"/>
            <w:hideMark/>
          </w:tcPr>
          <w:p w14:paraId="3DCF0233" w14:textId="77777777" w:rsidR="00877CAB" w:rsidRPr="00877CAB" w:rsidRDefault="00877CAB" w:rsidP="002B6B57">
            <w:pPr>
              <w:pStyle w:val="Tabelid"/>
              <w:jc w:val="right"/>
            </w:pPr>
            <w:r w:rsidRPr="00877CAB">
              <w:t>2,5</w:t>
            </w:r>
          </w:p>
        </w:tc>
        <w:tc>
          <w:tcPr>
            <w:tcW w:w="1472" w:type="dxa"/>
            <w:tcBorders>
              <w:top w:val="nil"/>
              <w:left w:val="nil"/>
              <w:bottom w:val="nil"/>
              <w:right w:val="nil"/>
            </w:tcBorders>
            <w:shd w:val="clear" w:color="000000" w:fill="D9D9D6"/>
            <w:noWrap/>
            <w:vAlign w:val="center"/>
            <w:hideMark/>
          </w:tcPr>
          <w:p w14:paraId="499431C6" w14:textId="77777777" w:rsidR="00877CAB" w:rsidRPr="00877CAB" w:rsidRDefault="00877CAB" w:rsidP="002B6B57">
            <w:pPr>
              <w:pStyle w:val="Tabelid"/>
              <w:jc w:val="right"/>
            </w:pPr>
            <w:r w:rsidRPr="00877CAB">
              <w:t>721,6</w:t>
            </w:r>
          </w:p>
        </w:tc>
        <w:tc>
          <w:tcPr>
            <w:tcW w:w="1471" w:type="dxa"/>
            <w:tcBorders>
              <w:top w:val="nil"/>
              <w:left w:val="nil"/>
              <w:bottom w:val="nil"/>
              <w:right w:val="nil"/>
            </w:tcBorders>
            <w:shd w:val="clear" w:color="000000" w:fill="D9D9D6"/>
            <w:noWrap/>
            <w:vAlign w:val="center"/>
            <w:hideMark/>
          </w:tcPr>
          <w:p w14:paraId="55464B33" w14:textId="77777777" w:rsidR="00877CAB" w:rsidRPr="00877CAB" w:rsidRDefault="00877CAB" w:rsidP="002B6B57">
            <w:pPr>
              <w:pStyle w:val="Tabelid"/>
              <w:jc w:val="right"/>
            </w:pPr>
            <w:r w:rsidRPr="00877CAB">
              <w:t>2,3</w:t>
            </w:r>
          </w:p>
        </w:tc>
        <w:tc>
          <w:tcPr>
            <w:tcW w:w="1471" w:type="dxa"/>
            <w:tcBorders>
              <w:top w:val="nil"/>
              <w:left w:val="nil"/>
              <w:bottom w:val="nil"/>
              <w:right w:val="nil"/>
            </w:tcBorders>
            <w:shd w:val="clear" w:color="000000" w:fill="D9D9D6"/>
            <w:noWrap/>
            <w:vAlign w:val="center"/>
            <w:hideMark/>
          </w:tcPr>
          <w:p w14:paraId="04BFCE4E" w14:textId="77777777" w:rsidR="00877CAB" w:rsidRPr="00877CAB" w:rsidRDefault="00877CAB" w:rsidP="002B6B57">
            <w:pPr>
              <w:pStyle w:val="Tabelid"/>
              <w:jc w:val="right"/>
            </w:pPr>
            <w:r w:rsidRPr="00877CAB">
              <w:t>-0,2</w:t>
            </w:r>
          </w:p>
        </w:tc>
      </w:tr>
      <w:tr w:rsidR="00877CAB" w:rsidRPr="00877CAB" w14:paraId="6C190AD9" w14:textId="77777777" w:rsidTr="00877CAB">
        <w:trPr>
          <w:trHeight w:val="300"/>
        </w:trPr>
        <w:tc>
          <w:tcPr>
            <w:tcW w:w="2671" w:type="dxa"/>
            <w:tcBorders>
              <w:top w:val="nil"/>
              <w:left w:val="nil"/>
              <w:bottom w:val="nil"/>
              <w:right w:val="single" w:sz="12" w:space="0" w:color="000000"/>
            </w:tcBorders>
            <w:shd w:val="clear" w:color="auto" w:fill="auto"/>
            <w:noWrap/>
            <w:vAlign w:val="center"/>
            <w:hideMark/>
          </w:tcPr>
          <w:p w14:paraId="187A1CF9" w14:textId="77777777" w:rsidR="00877CAB" w:rsidRPr="002B6B57" w:rsidRDefault="00877CAB" w:rsidP="002B6B57">
            <w:pPr>
              <w:pStyle w:val="Tabelid"/>
              <w:rPr>
                <w:b/>
                <w:bCs/>
              </w:rPr>
            </w:pPr>
            <w:proofErr w:type="spellStart"/>
            <w:r w:rsidRPr="002B6B57">
              <w:rPr>
                <w:b/>
                <w:bCs/>
              </w:rPr>
              <w:t>Välisvõlg</w:t>
            </w:r>
            <w:proofErr w:type="spellEnd"/>
          </w:p>
        </w:tc>
        <w:tc>
          <w:tcPr>
            <w:tcW w:w="1455" w:type="dxa"/>
            <w:tcBorders>
              <w:top w:val="single" w:sz="4" w:space="0" w:color="FFFFFF"/>
              <w:left w:val="single" w:sz="4" w:space="0" w:color="FFFFFF"/>
              <w:bottom w:val="single" w:sz="4" w:space="0" w:color="FFFFFF"/>
              <w:right w:val="single" w:sz="4" w:space="0" w:color="FFFFFF"/>
            </w:tcBorders>
            <w:shd w:val="clear" w:color="auto" w:fill="auto"/>
            <w:vAlign w:val="center"/>
            <w:hideMark/>
          </w:tcPr>
          <w:p w14:paraId="1FB62C43" w14:textId="77777777" w:rsidR="00877CAB" w:rsidRPr="00877CAB" w:rsidRDefault="00877CAB" w:rsidP="002B6B57">
            <w:pPr>
              <w:pStyle w:val="Tabelid"/>
              <w:jc w:val="right"/>
            </w:pPr>
            <w:r w:rsidRPr="00877CAB">
              <w:t>222,3</w:t>
            </w:r>
          </w:p>
        </w:tc>
        <w:tc>
          <w:tcPr>
            <w:tcW w:w="1480" w:type="dxa"/>
            <w:tcBorders>
              <w:top w:val="single" w:sz="4" w:space="0" w:color="FFFFFF"/>
              <w:left w:val="nil"/>
              <w:bottom w:val="single" w:sz="4" w:space="0" w:color="FFFFFF"/>
              <w:right w:val="single" w:sz="4" w:space="0" w:color="FFFFFF"/>
            </w:tcBorders>
            <w:shd w:val="clear" w:color="auto" w:fill="auto"/>
            <w:vAlign w:val="center"/>
            <w:hideMark/>
          </w:tcPr>
          <w:p w14:paraId="2ACCDBD6" w14:textId="77777777" w:rsidR="00877CAB" w:rsidRPr="00877CAB" w:rsidRDefault="00877CAB" w:rsidP="002B6B57">
            <w:pPr>
              <w:pStyle w:val="Tabelid"/>
              <w:jc w:val="right"/>
            </w:pPr>
            <w:r w:rsidRPr="00877CAB">
              <w:t>0,8</w:t>
            </w:r>
          </w:p>
        </w:tc>
        <w:tc>
          <w:tcPr>
            <w:tcW w:w="1472" w:type="dxa"/>
            <w:tcBorders>
              <w:top w:val="single" w:sz="4" w:space="0" w:color="FFFFFF"/>
              <w:left w:val="nil"/>
              <w:bottom w:val="single" w:sz="4" w:space="0" w:color="FFFFFF"/>
              <w:right w:val="single" w:sz="4" w:space="0" w:color="FFFFFF"/>
            </w:tcBorders>
            <w:shd w:val="clear" w:color="auto" w:fill="auto"/>
            <w:vAlign w:val="center"/>
            <w:hideMark/>
          </w:tcPr>
          <w:p w14:paraId="101A5DE3" w14:textId="77777777" w:rsidR="00877CAB" w:rsidRPr="00877CAB" w:rsidRDefault="00877CAB" w:rsidP="002B6B57">
            <w:pPr>
              <w:pStyle w:val="Tabelid"/>
              <w:jc w:val="right"/>
            </w:pPr>
            <w:r w:rsidRPr="00877CAB">
              <w:t>267,0</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5E908955" w14:textId="77777777" w:rsidR="00877CAB" w:rsidRPr="00877CAB" w:rsidRDefault="00877CAB" w:rsidP="002B6B57">
            <w:pPr>
              <w:pStyle w:val="Tabelid"/>
              <w:jc w:val="right"/>
            </w:pPr>
            <w:r w:rsidRPr="00877CAB">
              <w:t>0,9</w:t>
            </w:r>
          </w:p>
        </w:tc>
        <w:tc>
          <w:tcPr>
            <w:tcW w:w="1471" w:type="dxa"/>
            <w:tcBorders>
              <w:top w:val="single" w:sz="4" w:space="0" w:color="FFFFFF"/>
              <w:left w:val="nil"/>
              <w:bottom w:val="single" w:sz="4" w:space="0" w:color="FFFFFF"/>
              <w:right w:val="single" w:sz="4" w:space="0" w:color="FFFFFF"/>
            </w:tcBorders>
            <w:shd w:val="clear" w:color="auto" w:fill="auto"/>
            <w:vAlign w:val="center"/>
            <w:hideMark/>
          </w:tcPr>
          <w:p w14:paraId="69F160BC" w14:textId="77777777" w:rsidR="00877CAB" w:rsidRPr="00877CAB" w:rsidRDefault="00877CAB" w:rsidP="002B6B57">
            <w:pPr>
              <w:pStyle w:val="Tabelid"/>
              <w:jc w:val="right"/>
            </w:pPr>
            <w:r w:rsidRPr="00877CAB">
              <w:t>0,0</w:t>
            </w:r>
          </w:p>
        </w:tc>
      </w:tr>
      <w:tr w:rsidR="00877CAB" w:rsidRPr="00877CAB" w14:paraId="3F80D799" w14:textId="77777777" w:rsidTr="00877CAB">
        <w:trPr>
          <w:trHeight w:val="300"/>
        </w:trPr>
        <w:tc>
          <w:tcPr>
            <w:tcW w:w="2671" w:type="dxa"/>
            <w:tcBorders>
              <w:top w:val="nil"/>
              <w:left w:val="nil"/>
              <w:bottom w:val="nil"/>
              <w:right w:val="single" w:sz="12" w:space="0" w:color="000000"/>
            </w:tcBorders>
            <w:shd w:val="clear" w:color="000000" w:fill="D9D9D6"/>
            <w:noWrap/>
            <w:vAlign w:val="center"/>
            <w:hideMark/>
          </w:tcPr>
          <w:p w14:paraId="17C21F05" w14:textId="77777777" w:rsidR="00877CAB" w:rsidRPr="002B6B57" w:rsidRDefault="00877CAB" w:rsidP="002B6B57">
            <w:pPr>
              <w:pStyle w:val="Tabelid"/>
              <w:rPr>
                <w:b/>
                <w:bCs/>
              </w:rPr>
            </w:pPr>
            <w:r w:rsidRPr="002B6B57">
              <w:rPr>
                <w:b/>
                <w:bCs/>
              </w:rPr>
              <w:t>Sotsiaalkindlustusfondid</w:t>
            </w:r>
          </w:p>
        </w:tc>
        <w:tc>
          <w:tcPr>
            <w:tcW w:w="1455" w:type="dxa"/>
            <w:tcBorders>
              <w:top w:val="nil"/>
              <w:left w:val="nil"/>
              <w:bottom w:val="nil"/>
              <w:right w:val="nil"/>
            </w:tcBorders>
            <w:shd w:val="clear" w:color="000000" w:fill="D9D9D6"/>
            <w:noWrap/>
            <w:vAlign w:val="center"/>
            <w:hideMark/>
          </w:tcPr>
          <w:p w14:paraId="0D2CC3C8" w14:textId="77777777" w:rsidR="00877CAB" w:rsidRPr="00877CAB" w:rsidRDefault="00877CAB" w:rsidP="002B6B57">
            <w:pPr>
              <w:pStyle w:val="Tabelid"/>
              <w:jc w:val="right"/>
            </w:pPr>
            <w:r w:rsidRPr="00877CAB">
              <w:t>0</w:t>
            </w:r>
          </w:p>
        </w:tc>
        <w:tc>
          <w:tcPr>
            <w:tcW w:w="1480" w:type="dxa"/>
            <w:tcBorders>
              <w:top w:val="nil"/>
              <w:left w:val="nil"/>
              <w:bottom w:val="nil"/>
              <w:right w:val="nil"/>
            </w:tcBorders>
            <w:shd w:val="clear" w:color="000000" w:fill="D9D9D6"/>
            <w:noWrap/>
            <w:vAlign w:val="center"/>
            <w:hideMark/>
          </w:tcPr>
          <w:p w14:paraId="095F95A5" w14:textId="77777777" w:rsidR="00877CAB" w:rsidRPr="00877CAB" w:rsidRDefault="00877CAB" w:rsidP="002B6B57">
            <w:pPr>
              <w:pStyle w:val="Tabelid"/>
              <w:jc w:val="right"/>
            </w:pPr>
            <w:r w:rsidRPr="00877CAB">
              <w:t>0</w:t>
            </w:r>
          </w:p>
        </w:tc>
        <w:tc>
          <w:tcPr>
            <w:tcW w:w="1472" w:type="dxa"/>
            <w:tcBorders>
              <w:top w:val="nil"/>
              <w:left w:val="nil"/>
              <w:bottom w:val="nil"/>
              <w:right w:val="nil"/>
            </w:tcBorders>
            <w:shd w:val="clear" w:color="000000" w:fill="D9D9D6"/>
            <w:noWrap/>
            <w:vAlign w:val="center"/>
            <w:hideMark/>
          </w:tcPr>
          <w:p w14:paraId="32FC8115" w14:textId="77777777" w:rsidR="00877CAB" w:rsidRPr="00877CAB" w:rsidRDefault="00877CAB" w:rsidP="002B6B57">
            <w:pPr>
              <w:pStyle w:val="Tabelid"/>
              <w:jc w:val="right"/>
            </w:pPr>
            <w:r w:rsidRPr="00877CAB">
              <w:t>0</w:t>
            </w:r>
          </w:p>
        </w:tc>
        <w:tc>
          <w:tcPr>
            <w:tcW w:w="1471" w:type="dxa"/>
            <w:tcBorders>
              <w:top w:val="nil"/>
              <w:left w:val="nil"/>
              <w:bottom w:val="nil"/>
              <w:right w:val="nil"/>
            </w:tcBorders>
            <w:shd w:val="clear" w:color="000000" w:fill="D9D9D6"/>
            <w:noWrap/>
            <w:vAlign w:val="center"/>
            <w:hideMark/>
          </w:tcPr>
          <w:p w14:paraId="1BF0C791" w14:textId="77777777" w:rsidR="00877CAB" w:rsidRPr="00877CAB" w:rsidRDefault="00877CAB" w:rsidP="002B6B57">
            <w:pPr>
              <w:pStyle w:val="Tabelid"/>
              <w:jc w:val="right"/>
            </w:pPr>
            <w:r w:rsidRPr="00877CAB">
              <w:t>0</w:t>
            </w:r>
          </w:p>
        </w:tc>
        <w:tc>
          <w:tcPr>
            <w:tcW w:w="1471" w:type="dxa"/>
            <w:tcBorders>
              <w:top w:val="nil"/>
              <w:left w:val="nil"/>
              <w:bottom w:val="nil"/>
              <w:right w:val="nil"/>
            </w:tcBorders>
            <w:shd w:val="clear" w:color="000000" w:fill="D9D9D6"/>
            <w:noWrap/>
            <w:vAlign w:val="center"/>
            <w:hideMark/>
          </w:tcPr>
          <w:p w14:paraId="7F24BD58" w14:textId="77777777" w:rsidR="00877CAB" w:rsidRPr="00877CAB" w:rsidRDefault="00877CAB" w:rsidP="002B6B57">
            <w:pPr>
              <w:pStyle w:val="Tabelid"/>
              <w:jc w:val="right"/>
            </w:pPr>
            <w:r w:rsidRPr="00877CAB">
              <w:t>0</w:t>
            </w:r>
          </w:p>
        </w:tc>
      </w:tr>
      <w:tr w:rsidR="00877CAB" w:rsidRPr="00877CAB" w14:paraId="4266E2F0" w14:textId="77777777" w:rsidTr="00877CAB">
        <w:trPr>
          <w:trHeight w:val="300"/>
        </w:trPr>
        <w:tc>
          <w:tcPr>
            <w:tcW w:w="2671" w:type="dxa"/>
            <w:tcBorders>
              <w:top w:val="nil"/>
              <w:left w:val="nil"/>
              <w:bottom w:val="nil"/>
              <w:right w:val="single" w:sz="12" w:space="0" w:color="000000"/>
            </w:tcBorders>
            <w:shd w:val="clear" w:color="auto" w:fill="auto"/>
            <w:noWrap/>
            <w:vAlign w:val="center"/>
            <w:hideMark/>
          </w:tcPr>
          <w:p w14:paraId="4CDBE185" w14:textId="77777777" w:rsidR="00877CAB" w:rsidRPr="002B6B57" w:rsidRDefault="00877CAB" w:rsidP="002B6B57">
            <w:pPr>
              <w:pStyle w:val="Tabelid"/>
              <w:rPr>
                <w:b/>
                <w:bCs/>
              </w:rPr>
            </w:pPr>
            <w:r w:rsidRPr="002B6B57">
              <w:rPr>
                <w:b/>
                <w:bCs/>
              </w:rPr>
              <w:t>Kodumaine võlg</w:t>
            </w:r>
          </w:p>
        </w:tc>
        <w:tc>
          <w:tcPr>
            <w:tcW w:w="1455" w:type="dxa"/>
            <w:tcBorders>
              <w:top w:val="single" w:sz="4" w:space="0" w:color="FFFFFF"/>
              <w:left w:val="single" w:sz="4" w:space="0" w:color="FFFFFF"/>
              <w:bottom w:val="single" w:sz="4" w:space="0" w:color="FFFFFF"/>
              <w:right w:val="single" w:sz="4" w:space="0" w:color="FFFFFF"/>
            </w:tcBorders>
            <w:shd w:val="clear" w:color="auto" w:fill="auto"/>
            <w:vAlign w:val="center"/>
            <w:hideMark/>
          </w:tcPr>
          <w:p w14:paraId="2A679C76" w14:textId="77777777" w:rsidR="00877CAB" w:rsidRPr="00877CAB" w:rsidRDefault="00877CAB" w:rsidP="002B6B57">
            <w:pPr>
              <w:pStyle w:val="Tabelid"/>
              <w:jc w:val="right"/>
            </w:pPr>
            <w:r w:rsidRPr="00877CAB">
              <w:t>0</w:t>
            </w:r>
          </w:p>
        </w:tc>
        <w:tc>
          <w:tcPr>
            <w:tcW w:w="1480" w:type="dxa"/>
            <w:tcBorders>
              <w:top w:val="nil"/>
              <w:left w:val="nil"/>
              <w:bottom w:val="nil"/>
              <w:right w:val="nil"/>
            </w:tcBorders>
            <w:shd w:val="clear" w:color="auto" w:fill="auto"/>
            <w:vAlign w:val="center"/>
            <w:hideMark/>
          </w:tcPr>
          <w:p w14:paraId="63EA18FB" w14:textId="77777777" w:rsidR="00877CAB" w:rsidRPr="00877CAB" w:rsidRDefault="00877CAB" w:rsidP="002B6B57">
            <w:pPr>
              <w:pStyle w:val="Tabelid"/>
              <w:jc w:val="right"/>
            </w:pPr>
            <w:r w:rsidRPr="00877CAB">
              <w:t>0</w:t>
            </w:r>
          </w:p>
        </w:tc>
        <w:tc>
          <w:tcPr>
            <w:tcW w:w="1472" w:type="dxa"/>
            <w:tcBorders>
              <w:top w:val="nil"/>
              <w:left w:val="nil"/>
              <w:bottom w:val="nil"/>
              <w:right w:val="nil"/>
            </w:tcBorders>
            <w:shd w:val="clear" w:color="auto" w:fill="auto"/>
            <w:vAlign w:val="center"/>
            <w:hideMark/>
          </w:tcPr>
          <w:p w14:paraId="26CD4547" w14:textId="77777777" w:rsidR="00877CAB" w:rsidRPr="00877CAB" w:rsidRDefault="00877CAB" w:rsidP="002B6B57">
            <w:pPr>
              <w:pStyle w:val="Tabelid"/>
              <w:jc w:val="right"/>
            </w:pPr>
            <w:r w:rsidRPr="00877CAB">
              <w:t>0</w:t>
            </w:r>
          </w:p>
        </w:tc>
        <w:tc>
          <w:tcPr>
            <w:tcW w:w="1471" w:type="dxa"/>
            <w:tcBorders>
              <w:top w:val="nil"/>
              <w:left w:val="nil"/>
              <w:bottom w:val="nil"/>
              <w:right w:val="nil"/>
            </w:tcBorders>
            <w:shd w:val="clear" w:color="auto" w:fill="auto"/>
            <w:vAlign w:val="center"/>
            <w:hideMark/>
          </w:tcPr>
          <w:p w14:paraId="2BE78471" w14:textId="77777777" w:rsidR="00877CAB" w:rsidRPr="00877CAB" w:rsidRDefault="00877CAB" w:rsidP="002B6B57">
            <w:pPr>
              <w:pStyle w:val="Tabelid"/>
              <w:jc w:val="right"/>
            </w:pPr>
            <w:r w:rsidRPr="00877CAB">
              <w:t>0</w:t>
            </w:r>
          </w:p>
        </w:tc>
        <w:tc>
          <w:tcPr>
            <w:tcW w:w="1471" w:type="dxa"/>
            <w:tcBorders>
              <w:top w:val="nil"/>
              <w:left w:val="nil"/>
              <w:bottom w:val="nil"/>
              <w:right w:val="nil"/>
            </w:tcBorders>
            <w:shd w:val="clear" w:color="auto" w:fill="auto"/>
            <w:vAlign w:val="center"/>
            <w:hideMark/>
          </w:tcPr>
          <w:p w14:paraId="6BD0C01C" w14:textId="77777777" w:rsidR="00877CAB" w:rsidRPr="00877CAB" w:rsidRDefault="00877CAB" w:rsidP="002B6B57">
            <w:pPr>
              <w:pStyle w:val="Tabelid"/>
              <w:jc w:val="right"/>
            </w:pPr>
            <w:r w:rsidRPr="00877CAB">
              <w:t>0</w:t>
            </w:r>
          </w:p>
        </w:tc>
      </w:tr>
      <w:tr w:rsidR="00877CAB" w:rsidRPr="00877CAB" w14:paraId="32338027" w14:textId="77777777" w:rsidTr="00877CAB">
        <w:trPr>
          <w:trHeight w:val="300"/>
        </w:trPr>
        <w:tc>
          <w:tcPr>
            <w:tcW w:w="2671" w:type="dxa"/>
            <w:tcBorders>
              <w:top w:val="nil"/>
              <w:left w:val="nil"/>
              <w:bottom w:val="nil"/>
              <w:right w:val="single" w:sz="12" w:space="0" w:color="000000"/>
            </w:tcBorders>
            <w:shd w:val="clear" w:color="000000" w:fill="D9D9D6"/>
            <w:noWrap/>
            <w:vAlign w:val="center"/>
            <w:hideMark/>
          </w:tcPr>
          <w:p w14:paraId="001CF944" w14:textId="77777777" w:rsidR="00877CAB" w:rsidRPr="002B6B57" w:rsidRDefault="00877CAB" w:rsidP="002B6B57">
            <w:pPr>
              <w:pStyle w:val="Tabelid"/>
              <w:rPr>
                <w:b/>
                <w:bCs/>
              </w:rPr>
            </w:pPr>
            <w:proofErr w:type="spellStart"/>
            <w:r w:rsidRPr="002B6B57">
              <w:rPr>
                <w:b/>
                <w:bCs/>
              </w:rPr>
              <w:t>Välisvõlg</w:t>
            </w:r>
            <w:proofErr w:type="spellEnd"/>
          </w:p>
        </w:tc>
        <w:tc>
          <w:tcPr>
            <w:tcW w:w="1455" w:type="dxa"/>
            <w:tcBorders>
              <w:top w:val="nil"/>
              <w:left w:val="nil"/>
              <w:bottom w:val="nil"/>
              <w:right w:val="nil"/>
            </w:tcBorders>
            <w:shd w:val="clear" w:color="000000" w:fill="D9D9D6"/>
            <w:noWrap/>
            <w:vAlign w:val="center"/>
            <w:hideMark/>
          </w:tcPr>
          <w:p w14:paraId="729364A4" w14:textId="77777777" w:rsidR="00877CAB" w:rsidRPr="00877CAB" w:rsidRDefault="00877CAB" w:rsidP="002B6B57">
            <w:pPr>
              <w:pStyle w:val="Tabelid"/>
              <w:jc w:val="right"/>
            </w:pPr>
            <w:r w:rsidRPr="00877CAB">
              <w:t>0</w:t>
            </w:r>
          </w:p>
        </w:tc>
        <w:tc>
          <w:tcPr>
            <w:tcW w:w="1480" w:type="dxa"/>
            <w:tcBorders>
              <w:top w:val="nil"/>
              <w:left w:val="nil"/>
              <w:bottom w:val="nil"/>
              <w:right w:val="nil"/>
            </w:tcBorders>
            <w:shd w:val="clear" w:color="000000" w:fill="D9D9D6"/>
            <w:noWrap/>
            <w:vAlign w:val="center"/>
            <w:hideMark/>
          </w:tcPr>
          <w:p w14:paraId="1B88D79A" w14:textId="77777777" w:rsidR="00877CAB" w:rsidRPr="00877CAB" w:rsidRDefault="00877CAB" w:rsidP="002B6B57">
            <w:pPr>
              <w:pStyle w:val="Tabelid"/>
              <w:jc w:val="right"/>
            </w:pPr>
            <w:r w:rsidRPr="00877CAB">
              <w:t>0</w:t>
            </w:r>
          </w:p>
        </w:tc>
        <w:tc>
          <w:tcPr>
            <w:tcW w:w="1472" w:type="dxa"/>
            <w:tcBorders>
              <w:top w:val="nil"/>
              <w:left w:val="nil"/>
              <w:bottom w:val="nil"/>
              <w:right w:val="nil"/>
            </w:tcBorders>
            <w:shd w:val="clear" w:color="000000" w:fill="D9D9D6"/>
            <w:noWrap/>
            <w:vAlign w:val="center"/>
            <w:hideMark/>
          </w:tcPr>
          <w:p w14:paraId="6BC3DFB9" w14:textId="77777777" w:rsidR="00877CAB" w:rsidRPr="00877CAB" w:rsidRDefault="00877CAB" w:rsidP="002B6B57">
            <w:pPr>
              <w:pStyle w:val="Tabelid"/>
              <w:jc w:val="right"/>
            </w:pPr>
            <w:r w:rsidRPr="00877CAB">
              <w:t>0</w:t>
            </w:r>
          </w:p>
        </w:tc>
        <w:tc>
          <w:tcPr>
            <w:tcW w:w="1471" w:type="dxa"/>
            <w:tcBorders>
              <w:top w:val="nil"/>
              <w:left w:val="nil"/>
              <w:bottom w:val="nil"/>
              <w:right w:val="nil"/>
            </w:tcBorders>
            <w:shd w:val="clear" w:color="000000" w:fill="D9D9D6"/>
            <w:noWrap/>
            <w:vAlign w:val="center"/>
            <w:hideMark/>
          </w:tcPr>
          <w:p w14:paraId="546A9F90" w14:textId="77777777" w:rsidR="00877CAB" w:rsidRPr="00877CAB" w:rsidRDefault="00877CAB" w:rsidP="002B6B57">
            <w:pPr>
              <w:pStyle w:val="Tabelid"/>
              <w:jc w:val="right"/>
            </w:pPr>
            <w:r w:rsidRPr="00877CAB">
              <w:t>0</w:t>
            </w:r>
          </w:p>
        </w:tc>
        <w:tc>
          <w:tcPr>
            <w:tcW w:w="1471" w:type="dxa"/>
            <w:tcBorders>
              <w:top w:val="nil"/>
              <w:left w:val="nil"/>
              <w:bottom w:val="nil"/>
              <w:right w:val="nil"/>
            </w:tcBorders>
            <w:shd w:val="clear" w:color="000000" w:fill="D9D9D6"/>
            <w:noWrap/>
            <w:vAlign w:val="center"/>
            <w:hideMark/>
          </w:tcPr>
          <w:p w14:paraId="19782BC2" w14:textId="77777777" w:rsidR="00877CAB" w:rsidRPr="00877CAB" w:rsidRDefault="00877CAB" w:rsidP="002B6B57">
            <w:pPr>
              <w:pStyle w:val="Tabelid"/>
              <w:jc w:val="right"/>
            </w:pPr>
            <w:r w:rsidRPr="00877CAB">
              <w:t>0</w:t>
            </w:r>
          </w:p>
        </w:tc>
      </w:tr>
    </w:tbl>
    <w:p w14:paraId="6A1D4D71" w14:textId="77777777" w:rsidR="00F4704F" w:rsidRPr="00364988" w:rsidRDefault="00F4704F" w:rsidP="00364988">
      <w:pPr>
        <w:pStyle w:val="Mrkus"/>
        <w:rPr>
          <w:rStyle w:val="MrkusChar"/>
          <w:i/>
        </w:rPr>
      </w:pPr>
      <w:r w:rsidRPr="00364988">
        <w:rPr>
          <w:rStyle w:val="MrkusChar"/>
          <w:i/>
        </w:rPr>
        <w:footnoteReference w:customMarkFollows="1" w:id="2"/>
        <w:t>[1] Keskvalitsuse tasemel konsolideeritud number.</w:t>
      </w:r>
    </w:p>
    <w:p w14:paraId="0AFE2DA9" w14:textId="77777777" w:rsidR="00831AD9" w:rsidRPr="00364988" w:rsidRDefault="00831AD9" w:rsidP="00364988">
      <w:pPr>
        <w:pStyle w:val="Mrkus"/>
      </w:pPr>
      <w:r w:rsidRPr="00364988">
        <w:t>Allikas: Rahandusministeerium, Eesti Statistikaamet.</w:t>
      </w:r>
    </w:p>
    <w:p w14:paraId="542A5B4C" w14:textId="68A5A9E7" w:rsidR="00831AD9" w:rsidRPr="00414819" w:rsidRDefault="00831AD9" w:rsidP="00831AD9">
      <w:pPr>
        <w:rPr>
          <w:highlight w:val="yellow"/>
        </w:rPr>
      </w:pPr>
    </w:p>
    <w:p w14:paraId="645D01B0" w14:textId="4C00D7C9" w:rsidR="009D7526" w:rsidRPr="001D6947" w:rsidRDefault="00201039" w:rsidP="0059418C">
      <w:pPr>
        <w:pStyle w:val="Caption"/>
      </w:pPr>
      <w:bookmarkStart w:id="286" w:name="_Ref100182185"/>
      <w:bookmarkStart w:id="287" w:name="_Toc143775561"/>
      <w:r w:rsidRPr="001D6947">
        <w:t xml:space="preserve">Tabel </w:t>
      </w:r>
      <w:r w:rsidR="004C0EAE">
        <w:fldChar w:fldCharType="begin"/>
      </w:r>
      <w:r w:rsidR="004C0EAE">
        <w:instrText xml:space="preserve"> SEQ Tabel \* ARABIC </w:instrText>
      </w:r>
      <w:r w:rsidR="004C0EAE">
        <w:fldChar w:fldCharType="separate"/>
      </w:r>
      <w:r w:rsidR="008478E8">
        <w:rPr>
          <w:noProof/>
        </w:rPr>
        <w:t>20</w:t>
      </w:r>
      <w:r w:rsidR="004C0EAE">
        <w:rPr>
          <w:noProof/>
        </w:rPr>
        <w:fldChar w:fldCharType="end"/>
      </w:r>
      <w:bookmarkEnd w:id="286"/>
      <w:r w:rsidRPr="001D6947">
        <w:t>. Valitsussektori võlakoormus 20</w:t>
      </w:r>
      <w:r w:rsidR="000065F7" w:rsidRPr="001D6947">
        <w:t>20</w:t>
      </w:r>
      <w:r w:rsidRPr="001D6947">
        <w:t>–202</w:t>
      </w:r>
      <w:r w:rsidR="000065F7" w:rsidRPr="001D6947">
        <w:t>7</w:t>
      </w:r>
      <w:r w:rsidRPr="001D6947">
        <w:t xml:space="preserve"> (mln eurot, % SKPst)</w:t>
      </w:r>
      <w:bookmarkEnd w:id="287"/>
      <w:r w:rsidR="000065F7" w:rsidRPr="001D6947">
        <w:t xml:space="preserve"> </w:t>
      </w:r>
    </w:p>
    <w:tbl>
      <w:tblPr>
        <w:tblW w:w="10317" w:type="dxa"/>
        <w:tblCellMar>
          <w:left w:w="70" w:type="dxa"/>
          <w:right w:w="70" w:type="dxa"/>
        </w:tblCellMar>
        <w:tblLook w:val="04A0" w:firstRow="1" w:lastRow="0" w:firstColumn="1" w:lastColumn="0" w:noHBand="0" w:noVBand="1"/>
      </w:tblPr>
      <w:tblGrid>
        <w:gridCol w:w="1742"/>
        <w:gridCol w:w="975"/>
        <w:gridCol w:w="954"/>
        <w:gridCol w:w="951"/>
        <w:gridCol w:w="951"/>
        <w:gridCol w:w="951"/>
        <w:gridCol w:w="952"/>
        <w:gridCol w:w="951"/>
        <w:gridCol w:w="951"/>
        <w:gridCol w:w="939"/>
      </w:tblGrid>
      <w:tr w:rsidR="00C52727" w:rsidRPr="001D6947" w14:paraId="24223124" w14:textId="77777777" w:rsidTr="005144A8">
        <w:trPr>
          <w:trHeight w:val="583"/>
        </w:trPr>
        <w:tc>
          <w:tcPr>
            <w:tcW w:w="1742" w:type="dxa"/>
            <w:tcBorders>
              <w:top w:val="single" w:sz="4" w:space="0" w:color="auto"/>
              <w:left w:val="nil"/>
              <w:bottom w:val="single" w:sz="8" w:space="0" w:color="auto"/>
              <w:right w:val="single" w:sz="8" w:space="0" w:color="auto"/>
            </w:tcBorders>
            <w:shd w:val="clear" w:color="auto" w:fill="auto"/>
            <w:vAlign w:val="center"/>
            <w:hideMark/>
          </w:tcPr>
          <w:p w14:paraId="26B9217E" w14:textId="77777777" w:rsidR="00C52727" w:rsidRPr="001D6947" w:rsidRDefault="00C52727" w:rsidP="00C52727">
            <w:pPr>
              <w:spacing w:after="0" w:line="240" w:lineRule="auto"/>
              <w:rPr>
                <w:rFonts w:ascii="Roboto Condensed" w:eastAsia="Times New Roman" w:hAnsi="Roboto Condensed" w:cs="Calibri"/>
                <w:b/>
                <w:bCs/>
                <w:color w:val="000000"/>
                <w:sz w:val="20"/>
                <w:szCs w:val="20"/>
                <w:lang w:eastAsia="et-EE"/>
              </w:rPr>
            </w:pPr>
            <w:r w:rsidRPr="001D6947">
              <w:rPr>
                <w:rFonts w:ascii="Roboto Condensed" w:eastAsia="Times New Roman" w:hAnsi="Roboto Condensed" w:cs="Calibri"/>
                <w:b/>
                <w:bCs/>
                <w:color w:val="000000"/>
                <w:sz w:val="20"/>
                <w:szCs w:val="20"/>
                <w:lang w:eastAsia="et-EE"/>
              </w:rPr>
              <w:t> </w:t>
            </w:r>
          </w:p>
        </w:tc>
        <w:tc>
          <w:tcPr>
            <w:tcW w:w="975" w:type="dxa"/>
            <w:tcBorders>
              <w:top w:val="single" w:sz="4" w:space="0" w:color="auto"/>
              <w:left w:val="single" w:sz="8" w:space="0" w:color="auto"/>
              <w:bottom w:val="single" w:sz="8" w:space="0" w:color="auto"/>
              <w:right w:val="nil"/>
            </w:tcBorders>
            <w:shd w:val="clear" w:color="auto" w:fill="auto"/>
            <w:vAlign w:val="center"/>
            <w:hideMark/>
          </w:tcPr>
          <w:p w14:paraId="2746A6EE" w14:textId="77777777" w:rsidR="00C52727" w:rsidRPr="008B0EAE" w:rsidRDefault="00C52727" w:rsidP="008B0EAE">
            <w:pPr>
              <w:pStyle w:val="Tabelid"/>
              <w:rPr>
                <w:b/>
                <w:bCs/>
              </w:rPr>
            </w:pPr>
            <w:r w:rsidRPr="008B0EAE">
              <w:rPr>
                <w:b/>
                <w:bCs/>
              </w:rPr>
              <w:t>2011-2019 keskmine</w:t>
            </w:r>
          </w:p>
        </w:tc>
        <w:tc>
          <w:tcPr>
            <w:tcW w:w="954" w:type="dxa"/>
            <w:tcBorders>
              <w:top w:val="single" w:sz="4" w:space="0" w:color="auto"/>
              <w:left w:val="nil"/>
              <w:bottom w:val="single" w:sz="8" w:space="0" w:color="auto"/>
              <w:right w:val="nil"/>
            </w:tcBorders>
            <w:shd w:val="clear" w:color="auto" w:fill="auto"/>
            <w:noWrap/>
            <w:vAlign w:val="center"/>
            <w:hideMark/>
          </w:tcPr>
          <w:p w14:paraId="5C7ECF3A" w14:textId="77777777" w:rsidR="00C52727" w:rsidRPr="008B0EAE" w:rsidRDefault="00C52727" w:rsidP="008B0EAE">
            <w:pPr>
              <w:pStyle w:val="Tabelid"/>
              <w:rPr>
                <w:b/>
                <w:bCs/>
              </w:rPr>
            </w:pPr>
            <w:r w:rsidRPr="008B0EAE">
              <w:rPr>
                <w:b/>
                <w:bCs/>
              </w:rPr>
              <w:t>2020</w:t>
            </w:r>
          </w:p>
        </w:tc>
        <w:tc>
          <w:tcPr>
            <w:tcW w:w="951" w:type="dxa"/>
            <w:tcBorders>
              <w:top w:val="single" w:sz="4" w:space="0" w:color="auto"/>
              <w:left w:val="nil"/>
              <w:bottom w:val="single" w:sz="8" w:space="0" w:color="auto"/>
              <w:right w:val="nil"/>
            </w:tcBorders>
            <w:shd w:val="clear" w:color="auto" w:fill="auto"/>
            <w:noWrap/>
            <w:vAlign w:val="center"/>
            <w:hideMark/>
          </w:tcPr>
          <w:p w14:paraId="07E0CAF3" w14:textId="77777777" w:rsidR="00C52727" w:rsidRPr="008B0EAE" w:rsidRDefault="00C52727" w:rsidP="008B0EAE">
            <w:pPr>
              <w:pStyle w:val="Tabelid"/>
              <w:rPr>
                <w:b/>
                <w:bCs/>
              </w:rPr>
            </w:pPr>
            <w:r w:rsidRPr="008B0EAE">
              <w:rPr>
                <w:b/>
                <w:bCs/>
              </w:rPr>
              <w:t>2021</w:t>
            </w:r>
          </w:p>
        </w:tc>
        <w:tc>
          <w:tcPr>
            <w:tcW w:w="951" w:type="dxa"/>
            <w:tcBorders>
              <w:top w:val="single" w:sz="4" w:space="0" w:color="auto"/>
              <w:left w:val="nil"/>
              <w:bottom w:val="single" w:sz="8" w:space="0" w:color="auto"/>
              <w:right w:val="nil"/>
            </w:tcBorders>
            <w:shd w:val="clear" w:color="auto" w:fill="auto"/>
            <w:noWrap/>
            <w:vAlign w:val="center"/>
            <w:hideMark/>
          </w:tcPr>
          <w:p w14:paraId="55D68ED0" w14:textId="77777777" w:rsidR="00C52727" w:rsidRPr="008B0EAE" w:rsidRDefault="00C52727" w:rsidP="008B0EAE">
            <w:pPr>
              <w:pStyle w:val="Tabelid"/>
              <w:rPr>
                <w:b/>
                <w:bCs/>
              </w:rPr>
            </w:pPr>
            <w:r w:rsidRPr="008B0EAE">
              <w:rPr>
                <w:b/>
                <w:bCs/>
              </w:rPr>
              <w:t>2022</w:t>
            </w:r>
          </w:p>
        </w:tc>
        <w:tc>
          <w:tcPr>
            <w:tcW w:w="951" w:type="dxa"/>
            <w:tcBorders>
              <w:top w:val="single" w:sz="4" w:space="0" w:color="auto"/>
              <w:left w:val="nil"/>
              <w:bottom w:val="single" w:sz="8" w:space="0" w:color="auto"/>
              <w:right w:val="nil"/>
            </w:tcBorders>
            <w:shd w:val="clear" w:color="auto" w:fill="auto"/>
            <w:noWrap/>
            <w:vAlign w:val="center"/>
            <w:hideMark/>
          </w:tcPr>
          <w:p w14:paraId="2331A6CB" w14:textId="77777777" w:rsidR="00C52727" w:rsidRPr="008B0EAE" w:rsidRDefault="00C52727" w:rsidP="008B0EAE">
            <w:pPr>
              <w:pStyle w:val="Tabelid"/>
              <w:rPr>
                <w:b/>
                <w:bCs/>
              </w:rPr>
            </w:pPr>
            <w:r w:rsidRPr="008B0EAE">
              <w:rPr>
                <w:b/>
                <w:bCs/>
              </w:rPr>
              <w:t>2023</w:t>
            </w:r>
          </w:p>
        </w:tc>
        <w:tc>
          <w:tcPr>
            <w:tcW w:w="952" w:type="dxa"/>
            <w:tcBorders>
              <w:top w:val="single" w:sz="4" w:space="0" w:color="auto"/>
              <w:left w:val="nil"/>
              <w:bottom w:val="single" w:sz="8" w:space="0" w:color="auto"/>
              <w:right w:val="nil"/>
            </w:tcBorders>
            <w:shd w:val="clear" w:color="auto" w:fill="auto"/>
            <w:noWrap/>
            <w:vAlign w:val="center"/>
            <w:hideMark/>
          </w:tcPr>
          <w:p w14:paraId="42D87C6F" w14:textId="77777777" w:rsidR="00C52727" w:rsidRPr="008B0EAE" w:rsidRDefault="00C52727" w:rsidP="008B0EAE">
            <w:pPr>
              <w:pStyle w:val="Tabelid"/>
              <w:rPr>
                <w:b/>
                <w:bCs/>
              </w:rPr>
            </w:pPr>
            <w:r w:rsidRPr="008B0EAE">
              <w:rPr>
                <w:b/>
                <w:bCs/>
              </w:rPr>
              <w:t>2024</w:t>
            </w:r>
          </w:p>
        </w:tc>
        <w:tc>
          <w:tcPr>
            <w:tcW w:w="951" w:type="dxa"/>
            <w:tcBorders>
              <w:top w:val="single" w:sz="4" w:space="0" w:color="auto"/>
              <w:left w:val="nil"/>
              <w:bottom w:val="single" w:sz="8" w:space="0" w:color="auto"/>
              <w:right w:val="nil"/>
            </w:tcBorders>
            <w:shd w:val="clear" w:color="auto" w:fill="auto"/>
            <w:noWrap/>
            <w:vAlign w:val="center"/>
            <w:hideMark/>
          </w:tcPr>
          <w:p w14:paraId="062A7B21" w14:textId="77777777" w:rsidR="00C52727" w:rsidRPr="008B0EAE" w:rsidRDefault="00C52727" w:rsidP="008B0EAE">
            <w:pPr>
              <w:pStyle w:val="Tabelid"/>
              <w:rPr>
                <w:b/>
                <w:bCs/>
              </w:rPr>
            </w:pPr>
            <w:r w:rsidRPr="008B0EAE">
              <w:rPr>
                <w:b/>
                <w:bCs/>
              </w:rPr>
              <w:t>2025</w:t>
            </w:r>
          </w:p>
        </w:tc>
        <w:tc>
          <w:tcPr>
            <w:tcW w:w="951" w:type="dxa"/>
            <w:tcBorders>
              <w:top w:val="single" w:sz="4" w:space="0" w:color="auto"/>
              <w:left w:val="nil"/>
              <w:bottom w:val="single" w:sz="8" w:space="0" w:color="auto"/>
              <w:right w:val="nil"/>
            </w:tcBorders>
            <w:shd w:val="clear" w:color="auto" w:fill="auto"/>
            <w:noWrap/>
            <w:vAlign w:val="center"/>
            <w:hideMark/>
          </w:tcPr>
          <w:p w14:paraId="26C25B6F" w14:textId="77777777" w:rsidR="00C52727" w:rsidRPr="008B0EAE" w:rsidRDefault="00C52727" w:rsidP="008B0EAE">
            <w:pPr>
              <w:pStyle w:val="Tabelid"/>
              <w:rPr>
                <w:b/>
                <w:bCs/>
              </w:rPr>
            </w:pPr>
            <w:r w:rsidRPr="008B0EAE">
              <w:rPr>
                <w:b/>
                <w:bCs/>
              </w:rPr>
              <w:t>2026</w:t>
            </w:r>
          </w:p>
        </w:tc>
        <w:tc>
          <w:tcPr>
            <w:tcW w:w="939" w:type="dxa"/>
            <w:tcBorders>
              <w:top w:val="single" w:sz="4" w:space="0" w:color="auto"/>
              <w:left w:val="nil"/>
              <w:bottom w:val="single" w:sz="8" w:space="0" w:color="auto"/>
              <w:right w:val="nil"/>
            </w:tcBorders>
            <w:shd w:val="clear" w:color="auto" w:fill="auto"/>
            <w:noWrap/>
            <w:vAlign w:val="center"/>
            <w:hideMark/>
          </w:tcPr>
          <w:p w14:paraId="093A7EE1" w14:textId="77777777" w:rsidR="00C52727" w:rsidRPr="008B0EAE" w:rsidRDefault="00C52727" w:rsidP="008B0EAE">
            <w:pPr>
              <w:pStyle w:val="Tabelid"/>
              <w:rPr>
                <w:b/>
                <w:bCs/>
              </w:rPr>
            </w:pPr>
            <w:r w:rsidRPr="008B0EAE">
              <w:rPr>
                <w:b/>
                <w:bCs/>
              </w:rPr>
              <w:t>2027</w:t>
            </w:r>
          </w:p>
        </w:tc>
      </w:tr>
      <w:tr w:rsidR="009D1CF9" w:rsidRPr="001D6947" w14:paraId="7662CACC" w14:textId="77777777" w:rsidTr="002E0DE5">
        <w:trPr>
          <w:trHeight w:val="333"/>
        </w:trPr>
        <w:tc>
          <w:tcPr>
            <w:tcW w:w="1742" w:type="dxa"/>
            <w:tcBorders>
              <w:top w:val="nil"/>
              <w:left w:val="nil"/>
              <w:bottom w:val="single" w:sz="4" w:space="0" w:color="FFFFFF"/>
              <w:right w:val="single" w:sz="8" w:space="0" w:color="auto"/>
            </w:tcBorders>
            <w:shd w:val="clear" w:color="000000" w:fill="D9D9D9"/>
            <w:vAlign w:val="center"/>
            <w:hideMark/>
          </w:tcPr>
          <w:p w14:paraId="4EC3FCC8" w14:textId="77777777" w:rsidR="009D1CF9" w:rsidRPr="002B6B57" w:rsidRDefault="009D1CF9" w:rsidP="002B6B57">
            <w:pPr>
              <w:pStyle w:val="Tabelid"/>
              <w:rPr>
                <w:b/>
                <w:bCs/>
              </w:rPr>
            </w:pPr>
            <w:r w:rsidRPr="002B6B57">
              <w:rPr>
                <w:b/>
                <w:bCs/>
              </w:rPr>
              <w:t>Võlg kokku (mln eurot)</w:t>
            </w:r>
          </w:p>
        </w:tc>
        <w:tc>
          <w:tcPr>
            <w:tcW w:w="975" w:type="dxa"/>
            <w:tcBorders>
              <w:top w:val="nil"/>
              <w:left w:val="single" w:sz="4" w:space="0" w:color="FFFFFF"/>
              <w:bottom w:val="single" w:sz="4" w:space="0" w:color="FFFFFF"/>
              <w:right w:val="single" w:sz="4" w:space="0" w:color="FFFFFF"/>
            </w:tcBorders>
            <w:shd w:val="clear" w:color="000000" w:fill="D9D9D9"/>
            <w:vAlign w:val="center"/>
            <w:hideMark/>
          </w:tcPr>
          <w:p w14:paraId="4FC5622B" w14:textId="77777777" w:rsidR="009D1CF9" w:rsidRPr="002B6B57" w:rsidRDefault="009D1CF9" w:rsidP="002B6B57">
            <w:pPr>
              <w:pStyle w:val="Tabelid"/>
              <w:jc w:val="right"/>
              <w:rPr>
                <w:b/>
                <w:bCs/>
              </w:rPr>
            </w:pPr>
            <w:r w:rsidRPr="002B6B57">
              <w:rPr>
                <w:b/>
                <w:bCs/>
              </w:rPr>
              <w:t>1 976</w:t>
            </w:r>
          </w:p>
        </w:tc>
        <w:tc>
          <w:tcPr>
            <w:tcW w:w="954" w:type="dxa"/>
            <w:tcBorders>
              <w:top w:val="nil"/>
              <w:left w:val="single" w:sz="4" w:space="0" w:color="FFFFFF"/>
              <w:bottom w:val="single" w:sz="4" w:space="0" w:color="FFFFFF"/>
              <w:right w:val="single" w:sz="4" w:space="0" w:color="FFFFFF"/>
            </w:tcBorders>
            <w:shd w:val="clear" w:color="000000" w:fill="D9D9D9"/>
            <w:vAlign w:val="center"/>
            <w:hideMark/>
          </w:tcPr>
          <w:p w14:paraId="6253D978" w14:textId="31201009" w:rsidR="009D1CF9" w:rsidRPr="002B6B57" w:rsidRDefault="009D1CF9" w:rsidP="002B6B57">
            <w:pPr>
              <w:pStyle w:val="Tabelid"/>
              <w:jc w:val="right"/>
              <w:rPr>
                <w:b/>
                <w:bCs/>
              </w:rPr>
            </w:pPr>
            <w:r w:rsidRPr="002B6B57">
              <w:rPr>
                <w:b/>
                <w:bCs/>
              </w:rPr>
              <w:t>5 094</w:t>
            </w:r>
          </w:p>
        </w:tc>
        <w:tc>
          <w:tcPr>
            <w:tcW w:w="951" w:type="dxa"/>
            <w:tcBorders>
              <w:top w:val="nil"/>
              <w:left w:val="nil"/>
              <w:bottom w:val="single" w:sz="4" w:space="0" w:color="FFFFFF"/>
              <w:right w:val="single" w:sz="4" w:space="0" w:color="FFFFFF"/>
            </w:tcBorders>
            <w:shd w:val="clear" w:color="000000" w:fill="D9D9D9"/>
            <w:vAlign w:val="center"/>
            <w:hideMark/>
          </w:tcPr>
          <w:p w14:paraId="45CAC63B" w14:textId="3666B643" w:rsidR="009D1CF9" w:rsidRPr="002B6B57" w:rsidRDefault="009D1CF9" w:rsidP="002B6B57">
            <w:pPr>
              <w:pStyle w:val="Tabelid"/>
              <w:jc w:val="right"/>
              <w:rPr>
                <w:b/>
                <w:bCs/>
              </w:rPr>
            </w:pPr>
            <w:r w:rsidRPr="002B6B57">
              <w:rPr>
                <w:b/>
                <w:bCs/>
              </w:rPr>
              <w:t>5 534</w:t>
            </w:r>
          </w:p>
        </w:tc>
        <w:tc>
          <w:tcPr>
            <w:tcW w:w="951" w:type="dxa"/>
            <w:tcBorders>
              <w:top w:val="nil"/>
              <w:left w:val="nil"/>
              <w:bottom w:val="single" w:sz="4" w:space="0" w:color="FFFFFF"/>
              <w:right w:val="single" w:sz="4" w:space="0" w:color="FFFFFF"/>
            </w:tcBorders>
            <w:shd w:val="clear" w:color="000000" w:fill="D9D9D9"/>
            <w:vAlign w:val="center"/>
            <w:hideMark/>
          </w:tcPr>
          <w:p w14:paraId="0F23A605" w14:textId="2BE0C029" w:rsidR="009D1CF9" w:rsidRPr="002B6B57" w:rsidRDefault="009D1CF9" w:rsidP="002B6B57">
            <w:pPr>
              <w:pStyle w:val="Tabelid"/>
              <w:jc w:val="right"/>
              <w:rPr>
                <w:b/>
                <w:bCs/>
              </w:rPr>
            </w:pPr>
            <w:r w:rsidRPr="002B6B57">
              <w:rPr>
                <w:b/>
                <w:bCs/>
              </w:rPr>
              <w:t>6 658</w:t>
            </w:r>
          </w:p>
        </w:tc>
        <w:tc>
          <w:tcPr>
            <w:tcW w:w="951" w:type="dxa"/>
            <w:tcBorders>
              <w:top w:val="nil"/>
              <w:left w:val="nil"/>
              <w:bottom w:val="single" w:sz="4" w:space="0" w:color="FFFFFF"/>
              <w:right w:val="single" w:sz="4" w:space="0" w:color="FFFFFF"/>
            </w:tcBorders>
            <w:shd w:val="clear" w:color="000000" w:fill="D9D9D9"/>
            <w:vAlign w:val="center"/>
            <w:hideMark/>
          </w:tcPr>
          <w:p w14:paraId="65A4C676" w14:textId="6483FDC2" w:rsidR="009D1CF9" w:rsidRPr="002B6B57" w:rsidRDefault="009D1CF9" w:rsidP="002B6B57">
            <w:pPr>
              <w:pStyle w:val="Tabelid"/>
              <w:jc w:val="right"/>
              <w:rPr>
                <w:b/>
                <w:bCs/>
              </w:rPr>
            </w:pPr>
            <w:r w:rsidRPr="002B6B57">
              <w:rPr>
                <w:b/>
                <w:bCs/>
              </w:rPr>
              <w:t>7 524</w:t>
            </w:r>
          </w:p>
        </w:tc>
        <w:tc>
          <w:tcPr>
            <w:tcW w:w="952" w:type="dxa"/>
            <w:tcBorders>
              <w:top w:val="nil"/>
              <w:left w:val="nil"/>
              <w:bottom w:val="single" w:sz="4" w:space="0" w:color="FFFFFF"/>
              <w:right w:val="single" w:sz="4" w:space="0" w:color="FFFFFF"/>
            </w:tcBorders>
            <w:shd w:val="clear" w:color="000000" w:fill="D9D9D9"/>
            <w:vAlign w:val="center"/>
            <w:hideMark/>
          </w:tcPr>
          <w:p w14:paraId="7D5E82FE" w14:textId="578EDF01" w:rsidR="009D1CF9" w:rsidRPr="002B6B57" w:rsidRDefault="009D1CF9" w:rsidP="002B6B57">
            <w:pPr>
              <w:pStyle w:val="Tabelid"/>
              <w:jc w:val="right"/>
              <w:rPr>
                <w:b/>
                <w:bCs/>
              </w:rPr>
            </w:pPr>
            <w:r w:rsidRPr="002B6B57">
              <w:rPr>
                <w:b/>
                <w:bCs/>
              </w:rPr>
              <w:t>9 039</w:t>
            </w:r>
          </w:p>
        </w:tc>
        <w:tc>
          <w:tcPr>
            <w:tcW w:w="951" w:type="dxa"/>
            <w:tcBorders>
              <w:top w:val="nil"/>
              <w:left w:val="nil"/>
              <w:bottom w:val="single" w:sz="4" w:space="0" w:color="FFFFFF"/>
              <w:right w:val="single" w:sz="4" w:space="0" w:color="FFFFFF"/>
            </w:tcBorders>
            <w:shd w:val="clear" w:color="000000" w:fill="D9D9D9"/>
            <w:vAlign w:val="center"/>
            <w:hideMark/>
          </w:tcPr>
          <w:p w14:paraId="2DD43A38" w14:textId="78EB248F" w:rsidR="009D1CF9" w:rsidRPr="002B6B57" w:rsidRDefault="009D1CF9" w:rsidP="002B6B57">
            <w:pPr>
              <w:pStyle w:val="Tabelid"/>
              <w:jc w:val="right"/>
              <w:rPr>
                <w:b/>
                <w:bCs/>
              </w:rPr>
            </w:pPr>
            <w:r w:rsidRPr="002B6B57">
              <w:rPr>
                <w:b/>
                <w:bCs/>
              </w:rPr>
              <w:t>10 924</w:t>
            </w:r>
          </w:p>
        </w:tc>
        <w:tc>
          <w:tcPr>
            <w:tcW w:w="951" w:type="dxa"/>
            <w:tcBorders>
              <w:top w:val="nil"/>
              <w:left w:val="nil"/>
              <w:bottom w:val="single" w:sz="4" w:space="0" w:color="FFFFFF"/>
              <w:right w:val="single" w:sz="4" w:space="0" w:color="FFFFFF"/>
            </w:tcBorders>
            <w:shd w:val="clear" w:color="000000" w:fill="D9D9D9"/>
            <w:vAlign w:val="center"/>
            <w:hideMark/>
          </w:tcPr>
          <w:p w14:paraId="41CA3835" w14:textId="76644335" w:rsidR="009D1CF9" w:rsidRPr="002B6B57" w:rsidRDefault="009D1CF9" w:rsidP="002B6B57">
            <w:pPr>
              <w:pStyle w:val="Tabelid"/>
              <w:jc w:val="right"/>
              <w:rPr>
                <w:b/>
                <w:bCs/>
              </w:rPr>
            </w:pPr>
            <w:r w:rsidRPr="002B6B57">
              <w:rPr>
                <w:b/>
                <w:bCs/>
              </w:rPr>
              <w:t>12 666</w:t>
            </w:r>
          </w:p>
        </w:tc>
        <w:tc>
          <w:tcPr>
            <w:tcW w:w="939" w:type="dxa"/>
            <w:tcBorders>
              <w:top w:val="nil"/>
              <w:left w:val="nil"/>
              <w:bottom w:val="single" w:sz="4" w:space="0" w:color="FFFFFF"/>
              <w:right w:val="single" w:sz="4" w:space="0" w:color="FFFFFF"/>
            </w:tcBorders>
            <w:shd w:val="clear" w:color="000000" w:fill="D9D9D9"/>
            <w:vAlign w:val="center"/>
            <w:hideMark/>
          </w:tcPr>
          <w:p w14:paraId="05DB1622" w14:textId="05A6B722" w:rsidR="009D1CF9" w:rsidRPr="002B6B57" w:rsidRDefault="009D1CF9" w:rsidP="002B6B57">
            <w:pPr>
              <w:pStyle w:val="Tabelid"/>
              <w:jc w:val="right"/>
              <w:rPr>
                <w:b/>
                <w:bCs/>
              </w:rPr>
            </w:pPr>
            <w:r w:rsidRPr="002B6B57">
              <w:rPr>
                <w:b/>
                <w:bCs/>
              </w:rPr>
              <w:t>14 572</w:t>
            </w:r>
          </w:p>
        </w:tc>
      </w:tr>
      <w:tr w:rsidR="009D1CF9" w:rsidRPr="001D6947" w14:paraId="0E81916D" w14:textId="77777777" w:rsidTr="002E0DE5">
        <w:trPr>
          <w:trHeight w:val="333"/>
        </w:trPr>
        <w:tc>
          <w:tcPr>
            <w:tcW w:w="1742" w:type="dxa"/>
            <w:tcBorders>
              <w:top w:val="nil"/>
              <w:left w:val="nil"/>
              <w:bottom w:val="single" w:sz="4" w:space="0" w:color="FFFFFF"/>
              <w:right w:val="single" w:sz="8" w:space="0" w:color="auto"/>
            </w:tcBorders>
            <w:shd w:val="clear" w:color="auto" w:fill="auto"/>
            <w:vAlign w:val="center"/>
            <w:hideMark/>
          </w:tcPr>
          <w:p w14:paraId="591E43A2" w14:textId="77777777" w:rsidR="009D1CF9" w:rsidRPr="001D6947" w:rsidRDefault="009D1CF9" w:rsidP="002B6B57">
            <w:pPr>
              <w:pStyle w:val="Tabelid"/>
            </w:pPr>
            <w:r w:rsidRPr="001D6947">
              <w:t>sh keskvalitsuse panus</w:t>
            </w:r>
          </w:p>
        </w:tc>
        <w:tc>
          <w:tcPr>
            <w:tcW w:w="975" w:type="dxa"/>
            <w:tcBorders>
              <w:top w:val="nil"/>
              <w:left w:val="single" w:sz="4" w:space="0" w:color="FFFFFF"/>
              <w:bottom w:val="single" w:sz="4" w:space="0" w:color="FFFFFF"/>
              <w:right w:val="single" w:sz="4" w:space="0" w:color="FFFFFF"/>
            </w:tcBorders>
            <w:shd w:val="clear" w:color="auto" w:fill="auto"/>
            <w:vAlign w:val="center"/>
            <w:hideMark/>
          </w:tcPr>
          <w:p w14:paraId="791577FD" w14:textId="77777777" w:rsidR="009D1CF9" w:rsidRPr="001D6947" w:rsidRDefault="009D1CF9" w:rsidP="002B6B57">
            <w:pPr>
              <w:pStyle w:val="Tabelid"/>
              <w:jc w:val="right"/>
            </w:pPr>
            <w:r w:rsidRPr="001D6947">
              <w:t>1 283</w:t>
            </w:r>
          </w:p>
        </w:tc>
        <w:tc>
          <w:tcPr>
            <w:tcW w:w="954" w:type="dxa"/>
            <w:tcBorders>
              <w:top w:val="nil"/>
              <w:left w:val="single" w:sz="4" w:space="0" w:color="FFFFFF"/>
              <w:bottom w:val="single" w:sz="4" w:space="0" w:color="FFFFFF"/>
              <w:right w:val="single" w:sz="4" w:space="0" w:color="FFFFFF"/>
            </w:tcBorders>
            <w:shd w:val="clear" w:color="auto" w:fill="auto"/>
            <w:vAlign w:val="center"/>
            <w:hideMark/>
          </w:tcPr>
          <w:p w14:paraId="47A91275" w14:textId="22644916" w:rsidR="009D1CF9" w:rsidRPr="001D6947" w:rsidRDefault="009D1CF9" w:rsidP="002B6B57">
            <w:pPr>
              <w:pStyle w:val="Tabelid"/>
              <w:jc w:val="right"/>
            </w:pPr>
            <w:r w:rsidRPr="001D6947">
              <w:t>4 216</w:t>
            </w:r>
          </w:p>
        </w:tc>
        <w:tc>
          <w:tcPr>
            <w:tcW w:w="951" w:type="dxa"/>
            <w:tcBorders>
              <w:top w:val="nil"/>
              <w:left w:val="nil"/>
              <w:bottom w:val="single" w:sz="4" w:space="0" w:color="FFFFFF"/>
              <w:right w:val="single" w:sz="4" w:space="0" w:color="FFFFFF"/>
            </w:tcBorders>
            <w:shd w:val="clear" w:color="auto" w:fill="auto"/>
            <w:vAlign w:val="center"/>
            <w:hideMark/>
          </w:tcPr>
          <w:p w14:paraId="3C35DB8F" w14:textId="551996D9" w:rsidR="009D1CF9" w:rsidRPr="001D6947" w:rsidRDefault="009D1CF9" w:rsidP="002B6B57">
            <w:pPr>
              <w:pStyle w:val="Tabelid"/>
              <w:jc w:val="right"/>
            </w:pPr>
            <w:r w:rsidRPr="001D6947">
              <w:t>4 625</w:t>
            </w:r>
          </w:p>
        </w:tc>
        <w:tc>
          <w:tcPr>
            <w:tcW w:w="951" w:type="dxa"/>
            <w:tcBorders>
              <w:top w:val="nil"/>
              <w:left w:val="nil"/>
              <w:bottom w:val="single" w:sz="4" w:space="0" w:color="FFFFFF"/>
              <w:right w:val="single" w:sz="4" w:space="0" w:color="FFFFFF"/>
            </w:tcBorders>
            <w:shd w:val="clear" w:color="auto" w:fill="auto"/>
            <w:vAlign w:val="center"/>
            <w:hideMark/>
          </w:tcPr>
          <w:p w14:paraId="7934DA9B" w14:textId="54061431" w:rsidR="009D1CF9" w:rsidRPr="001D6947" w:rsidRDefault="009D1CF9" w:rsidP="002B6B57">
            <w:pPr>
              <w:pStyle w:val="Tabelid"/>
              <w:jc w:val="right"/>
            </w:pPr>
            <w:r w:rsidRPr="001D6947">
              <w:t>5 669</w:t>
            </w:r>
          </w:p>
        </w:tc>
        <w:tc>
          <w:tcPr>
            <w:tcW w:w="951" w:type="dxa"/>
            <w:tcBorders>
              <w:top w:val="nil"/>
              <w:left w:val="nil"/>
              <w:bottom w:val="single" w:sz="4" w:space="0" w:color="FFFFFF"/>
              <w:right w:val="single" w:sz="4" w:space="0" w:color="FFFFFF"/>
            </w:tcBorders>
            <w:shd w:val="clear" w:color="auto" w:fill="auto"/>
            <w:vAlign w:val="center"/>
            <w:hideMark/>
          </w:tcPr>
          <w:p w14:paraId="7BB36E75" w14:textId="541111D1" w:rsidR="009D1CF9" w:rsidRPr="001D6947" w:rsidRDefault="009D1CF9" w:rsidP="002B6B57">
            <w:pPr>
              <w:pStyle w:val="Tabelid"/>
              <w:jc w:val="right"/>
            </w:pPr>
            <w:r w:rsidRPr="001D6947">
              <w:t>6 436</w:t>
            </w:r>
          </w:p>
        </w:tc>
        <w:tc>
          <w:tcPr>
            <w:tcW w:w="952" w:type="dxa"/>
            <w:tcBorders>
              <w:top w:val="nil"/>
              <w:left w:val="nil"/>
              <w:bottom w:val="single" w:sz="4" w:space="0" w:color="FFFFFF"/>
              <w:right w:val="single" w:sz="4" w:space="0" w:color="FFFFFF"/>
            </w:tcBorders>
            <w:shd w:val="clear" w:color="auto" w:fill="auto"/>
            <w:vAlign w:val="center"/>
            <w:hideMark/>
          </w:tcPr>
          <w:p w14:paraId="2DA16BFA" w14:textId="52A227D7" w:rsidR="009D1CF9" w:rsidRPr="001D6947" w:rsidRDefault="009D1CF9" w:rsidP="002B6B57">
            <w:pPr>
              <w:pStyle w:val="Tabelid"/>
              <w:jc w:val="right"/>
            </w:pPr>
            <w:r w:rsidRPr="001D6947">
              <w:t>7 843</w:t>
            </w:r>
          </w:p>
        </w:tc>
        <w:tc>
          <w:tcPr>
            <w:tcW w:w="951" w:type="dxa"/>
            <w:tcBorders>
              <w:top w:val="nil"/>
              <w:left w:val="nil"/>
              <w:bottom w:val="single" w:sz="4" w:space="0" w:color="FFFFFF"/>
              <w:right w:val="single" w:sz="4" w:space="0" w:color="FFFFFF"/>
            </w:tcBorders>
            <w:shd w:val="clear" w:color="auto" w:fill="auto"/>
            <w:vAlign w:val="center"/>
            <w:hideMark/>
          </w:tcPr>
          <w:p w14:paraId="24B817D6" w14:textId="5CEF990D" w:rsidR="009D1CF9" w:rsidRPr="001D6947" w:rsidRDefault="009D1CF9" w:rsidP="002B6B57">
            <w:pPr>
              <w:pStyle w:val="Tabelid"/>
              <w:jc w:val="right"/>
            </w:pPr>
            <w:r w:rsidRPr="001D6947">
              <w:t>9 620</w:t>
            </w:r>
          </w:p>
        </w:tc>
        <w:tc>
          <w:tcPr>
            <w:tcW w:w="951" w:type="dxa"/>
            <w:tcBorders>
              <w:top w:val="nil"/>
              <w:left w:val="nil"/>
              <w:bottom w:val="single" w:sz="4" w:space="0" w:color="FFFFFF"/>
              <w:right w:val="single" w:sz="4" w:space="0" w:color="FFFFFF"/>
            </w:tcBorders>
            <w:shd w:val="clear" w:color="auto" w:fill="auto"/>
            <w:vAlign w:val="center"/>
            <w:hideMark/>
          </w:tcPr>
          <w:p w14:paraId="45772131" w14:textId="244929B6" w:rsidR="009D1CF9" w:rsidRPr="001D6947" w:rsidRDefault="009D1CF9" w:rsidP="002B6B57">
            <w:pPr>
              <w:pStyle w:val="Tabelid"/>
              <w:jc w:val="right"/>
            </w:pPr>
            <w:r w:rsidRPr="001D6947">
              <w:t>11 275</w:t>
            </w:r>
          </w:p>
        </w:tc>
        <w:tc>
          <w:tcPr>
            <w:tcW w:w="939" w:type="dxa"/>
            <w:tcBorders>
              <w:top w:val="nil"/>
              <w:left w:val="nil"/>
              <w:bottom w:val="single" w:sz="4" w:space="0" w:color="FFFFFF"/>
              <w:right w:val="single" w:sz="4" w:space="0" w:color="FFFFFF"/>
            </w:tcBorders>
            <w:shd w:val="clear" w:color="auto" w:fill="auto"/>
            <w:vAlign w:val="center"/>
            <w:hideMark/>
          </w:tcPr>
          <w:p w14:paraId="06413457" w14:textId="02A8189D" w:rsidR="009D1CF9" w:rsidRPr="001D6947" w:rsidRDefault="009D1CF9" w:rsidP="002B6B57">
            <w:pPr>
              <w:pStyle w:val="Tabelid"/>
              <w:jc w:val="right"/>
            </w:pPr>
            <w:r w:rsidRPr="001D6947">
              <w:t>13 086</w:t>
            </w:r>
          </w:p>
        </w:tc>
      </w:tr>
      <w:tr w:rsidR="009D1CF9" w:rsidRPr="001D6947" w14:paraId="66971710" w14:textId="77777777" w:rsidTr="002E0DE5">
        <w:trPr>
          <w:trHeight w:val="333"/>
        </w:trPr>
        <w:tc>
          <w:tcPr>
            <w:tcW w:w="1742" w:type="dxa"/>
            <w:tcBorders>
              <w:top w:val="nil"/>
              <w:left w:val="nil"/>
              <w:bottom w:val="single" w:sz="4" w:space="0" w:color="FFFFFF"/>
              <w:right w:val="single" w:sz="8" w:space="0" w:color="auto"/>
            </w:tcBorders>
            <w:shd w:val="clear" w:color="000000" w:fill="D9D9D9"/>
            <w:vAlign w:val="center"/>
            <w:hideMark/>
          </w:tcPr>
          <w:p w14:paraId="1BB4AF55" w14:textId="77777777" w:rsidR="009D1CF9" w:rsidRPr="001D6947" w:rsidRDefault="009D1CF9" w:rsidP="002B6B57">
            <w:pPr>
              <w:pStyle w:val="Tabelid"/>
            </w:pPr>
            <w:r w:rsidRPr="001D6947">
              <w:t xml:space="preserve">    </w:t>
            </w:r>
            <w:proofErr w:type="spellStart"/>
            <w:r w:rsidRPr="001D6947">
              <w:t>EFSFi</w:t>
            </w:r>
            <w:proofErr w:type="spellEnd"/>
            <w:r w:rsidRPr="001D6947">
              <w:t xml:space="preserve"> mõju</w:t>
            </w:r>
          </w:p>
        </w:tc>
        <w:tc>
          <w:tcPr>
            <w:tcW w:w="975" w:type="dxa"/>
            <w:tcBorders>
              <w:top w:val="nil"/>
              <w:left w:val="single" w:sz="4" w:space="0" w:color="FFFFFF"/>
              <w:bottom w:val="single" w:sz="4" w:space="0" w:color="FFFFFF"/>
              <w:right w:val="single" w:sz="4" w:space="0" w:color="FFFFFF"/>
            </w:tcBorders>
            <w:shd w:val="clear" w:color="000000" w:fill="D9D9D9"/>
            <w:vAlign w:val="center"/>
            <w:hideMark/>
          </w:tcPr>
          <w:p w14:paraId="7DB71436" w14:textId="77777777" w:rsidR="009D1CF9" w:rsidRPr="001D6947" w:rsidRDefault="009D1CF9" w:rsidP="002B6B57">
            <w:pPr>
              <w:pStyle w:val="Tabelid"/>
              <w:jc w:val="right"/>
            </w:pPr>
            <w:r w:rsidRPr="001D6947">
              <w:t>401</w:t>
            </w:r>
          </w:p>
        </w:tc>
        <w:tc>
          <w:tcPr>
            <w:tcW w:w="954" w:type="dxa"/>
            <w:tcBorders>
              <w:top w:val="nil"/>
              <w:left w:val="single" w:sz="4" w:space="0" w:color="FFFFFF"/>
              <w:bottom w:val="single" w:sz="4" w:space="0" w:color="FFFFFF"/>
              <w:right w:val="single" w:sz="4" w:space="0" w:color="FFFFFF"/>
            </w:tcBorders>
            <w:shd w:val="clear" w:color="000000" w:fill="D9D9D9"/>
            <w:vAlign w:val="center"/>
            <w:hideMark/>
          </w:tcPr>
          <w:p w14:paraId="738F4EA1" w14:textId="70B21096" w:rsidR="009D1CF9" w:rsidRPr="001D6947" w:rsidRDefault="009D1CF9" w:rsidP="002B6B57">
            <w:pPr>
              <w:pStyle w:val="Tabelid"/>
              <w:jc w:val="right"/>
            </w:pPr>
            <w:r w:rsidRPr="001D6947">
              <w:t>486</w:t>
            </w:r>
          </w:p>
        </w:tc>
        <w:tc>
          <w:tcPr>
            <w:tcW w:w="951" w:type="dxa"/>
            <w:tcBorders>
              <w:top w:val="nil"/>
              <w:left w:val="nil"/>
              <w:bottom w:val="single" w:sz="4" w:space="0" w:color="FFFFFF"/>
              <w:right w:val="single" w:sz="4" w:space="0" w:color="FFFFFF"/>
            </w:tcBorders>
            <w:shd w:val="clear" w:color="000000" w:fill="D9D9D9"/>
            <w:vAlign w:val="center"/>
            <w:hideMark/>
          </w:tcPr>
          <w:p w14:paraId="5BC86FCC" w14:textId="1D1E2078" w:rsidR="009D1CF9" w:rsidRPr="001D6947" w:rsidRDefault="009D1CF9" w:rsidP="002B6B57">
            <w:pPr>
              <w:pStyle w:val="Tabelid"/>
              <w:jc w:val="right"/>
            </w:pPr>
            <w:r w:rsidRPr="001D6947">
              <w:t>479</w:t>
            </w:r>
          </w:p>
        </w:tc>
        <w:tc>
          <w:tcPr>
            <w:tcW w:w="951" w:type="dxa"/>
            <w:tcBorders>
              <w:top w:val="nil"/>
              <w:left w:val="nil"/>
              <w:bottom w:val="single" w:sz="4" w:space="0" w:color="FFFFFF"/>
              <w:right w:val="single" w:sz="4" w:space="0" w:color="FFFFFF"/>
            </w:tcBorders>
            <w:shd w:val="clear" w:color="000000" w:fill="D9D9D9"/>
            <w:vAlign w:val="center"/>
            <w:hideMark/>
          </w:tcPr>
          <w:p w14:paraId="3375C1F2" w14:textId="7D483947" w:rsidR="009D1CF9" w:rsidRPr="001D6947" w:rsidRDefault="009D1CF9" w:rsidP="002B6B57">
            <w:pPr>
              <w:pStyle w:val="Tabelid"/>
              <w:jc w:val="right"/>
            </w:pPr>
            <w:r w:rsidRPr="001D6947">
              <w:t>482</w:t>
            </w:r>
          </w:p>
        </w:tc>
        <w:tc>
          <w:tcPr>
            <w:tcW w:w="951" w:type="dxa"/>
            <w:tcBorders>
              <w:top w:val="nil"/>
              <w:left w:val="nil"/>
              <w:bottom w:val="single" w:sz="4" w:space="0" w:color="FFFFFF"/>
              <w:right w:val="single" w:sz="4" w:space="0" w:color="FFFFFF"/>
            </w:tcBorders>
            <w:shd w:val="clear" w:color="000000" w:fill="D9D9D9"/>
            <w:vAlign w:val="center"/>
            <w:hideMark/>
          </w:tcPr>
          <w:p w14:paraId="479E3CC7" w14:textId="2A15D3C9" w:rsidR="009D1CF9" w:rsidRPr="001D6947" w:rsidRDefault="009D1CF9" w:rsidP="002B6B57">
            <w:pPr>
              <w:pStyle w:val="Tabelid"/>
              <w:jc w:val="right"/>
            </w:pPr>
            <w:r w:rsidRPr="001D6947">
              <w:t>437</w:t>
            </w:r>
          </w:p>
        </w:tc>
        <w:tc>
          <w:tcPr>
            <w:tcW w:w="952" w:type="dxa"/>
            <w:tcBorders>
              <w:top w:val="nil"/>
              <w:left w:val="nil"/>
              <w:bottom w:val="single" w:sz="4" w:space="0" w:color="FFFFFF"/>
              <w:right w:val="single" w:sz="4" w:space="0" w:color="FFFFFF"/>
            </w:tcBorders>
            <w:shd w:val="clear" w:color="000000" w:fill="D9D9D9"/>
            <w:vAlign w:val="center"/>
            <w:hideMark/>
          </w:tcPr>
          <w:p w14:paraId="1C8E6C4C" w14:textId="6B649C0E" w:rsidR="009D1CF9" w:rsidRPr="001D6947" w:rsidRDefault="009D1CF9" w:rsidP="002B6B57">
            <w:pPr>
              <w:pStyle w:val="Tabelid"/>
              <w:jc w:val="right"/>
            </w:pPr>
            <w:r w:rsidRPr="001D6947">
              <w:t>423</w:t>
            </w:r>
          </w:p>
        </w:tc>
        <w:tc>
          <w:tcPr>
            <w:tcW w:w="951" w:type="dxa"/>
            <w:tcBorders>
              <w:top w:val="nil"/>
              <w:left w:val="nil"/>
              <w:bottom w:val="single" w:sz="4" w:space="0" w:color="FFFFFF"/>
              <w:right w:val="single" w:sz="4" w:space="0" w:color="FFFFFF"/>
            </w:tcBorders>
            <w:shd w:val="clear" w:color="000000" w:fill="D9D9D9"/>
            <w:vAlign w:val="center"/>
            <w:hideMark/>
          </w:tcPr>
          <w:p w14:paraId="1EDD5676" w14:textId="271340A2" w:rsidR="009D1CF9" w:rsidRPr="001D6947" w:rsidRDefault="009D1CF9" w:rsidP="002B6B57">
            <w:pPr>
              <w:pStyle w:val="Tabelid"/>
              <w:jc w:val="right"/>
            </w:pPr>
            <w:r w:rsidRPr="001D6947">
              <w:t>408</w:t>
            </w:r>
          </w:p>
        </w:tc>
        <w:tc>
          <w:tcPr>
            <w:tcW w:w="951" w:type="dxa"/>
            <w:tcBorders>
              <w:top w:val="nil"/>
              <w:left w:val="nil"/>
              <w:bottom w:val="single" w:sz="4" w:space="0" w:color="FFFFFF"/>
              <w:right w:val="single" w:sz="4" w:space="0" w:color="FFFFFF"/>
            </w:tcBorders>
            <w:shd w:val="clear" w:color="000000" w:fill="D9D9D9"/>
            <w:vAlign w:val="center"/>
            <w:hideMark/>
          </w:tcPr>
          <w:p w14:paraId="2C4A9ED9" w14:textId="1CF26CCC" w:rsidR="009D1CF9" w:rsidRPr="001D6947" w:rsidRDefault="009D1CF9" w:rsidP="002B6B57">
            <w:pPr>
              <w:pStyle w:val="Tabelid"/>
              <w:jc w:val="right"/>
            </w:pPr>
            <w:r w:rsidRPr="001D6947">
              <w:t>408</w:t>
            </w:r>
          </w:p>
        </w:tc>
        <w:tc>
          <w:tcPr>
            <w:tcW w:w="939" w:type="dxa"/>
            <w:tcBorders>
              <w:top w:val="nil"/>
              <w:left w:val="nil"/>
              <w:bottom w:val="single" w:sz="4" w:space="0" w:color="FFFFFF"/>
              <w:right w:val="single" w:sz="4" w:space="0" w:color="FFFFFF"/>
            </w:tcBorders>
            <w:shd w:val="clear" w:color="000000" w:fill="D9D9D9"/>
            <w:vAlign w:val="center"/>
            <w:hideMark/>
          </w:tcPr>
          <w:p w14:paraId="45BCA43A" w14:textId="2FCCF66A" w:rsidR="009D1CF9" w:rsidRPr="001D6947" w:rsidRDefault="009D1CF9" w:rsidP="002B6B57">
            <w:pPr>
              <w:pStyle w:val="Tabelid"/>
              <w:jc w:val="right"/>
            </w:pPr>
            <w:r w:rsidRPr="001D6947">
              <w:t>408</w:t>
            </w:r>
          </w:p>
        </w:tc>
      </w:tr>
      <w:tr w:rsidR="009D1CF9" w:rsidRPr="001D6947" w14:paraId="6ADCC23C" w14:textId="77777777" w:rsidTr="002E0DE5">
        <w:trPr>
          <w:trHeight w:val="333"/>
        </w:trPr>
        <w:tc>
          <w:tcPr>
            <w:tcW w:w="1742" w:type="dxa"/>
            <w:tcBorders>
              <w:top w:val="nil"/>
              <w:left w:val="nil"/>
              <w:bottom w:val="single" w:sz="4" w:space="0" w:color="FFFFFF"/>
              <w:right w:val="single" w:sz="8" w:space="0" w:color="auto"/>
            </w:tcBorders>
            <w:shd w:val="clear" w:color="auto" w:fill="auto"/>
            <w:vAlign w:val="center"/>
            <w:hideMark/>
          </w:tcPr>
          <w:p w14:paraId="0778D944" w14:textId="77777777" w:rsidR="009D1CF9" w:rsidRPr="001D6947" w:rsidRDefault="009D1CF9" w:rsidP="002B6B57">
            <w:pPr>
              <w:pStyle w:val="Tabelid"/>
            </w:pPr>
            <w:r w:rsidRPr="001D6947">
              <w:t xml:space="preserve"> keskvalitsus ilma EFSF-ta</w:t>
            </w:r>
          </w:p>
        </w:tc>
        <w:tc>
          <w:tcPr>
            <w:tcW w:w="975" w:type="dxa"/>
            <w:tcBorders>
              <w:top w:val="nil"/>
              <w:left w:val="single" w:sz="4" w:space="0" w:color="FFFFFF"/>
              <w:bottom w:val="single" w:sz="4" w:space="0" w:color="FFFFFF"/>
              <w:right w:val="single" w:sz="4" w:space="0" w:color="FFFFFF"/>
            </w:tcBorders>
            <w:shd w:val="clear" w:color="auto" w:fill="auto"/>
            <w:vAlign w:val="center"/>
            <w:hideMark/>
          </w:tcPr>
          <w:p w14:paraId="4233CB29" w14:textId="77777777" w:rsidR="009D1CF9" w:rsidRPr="001D6947" w:rsidRDefault="009D1CF9" w:rsidP="002B6B57">
            <w:pPr>
              <w:pStyle w:val="Tabelid"/>
              <w:jc w:val="right"/>
            </w:pPr>
            <w:r w:rsidRPr="001D6947">
              <w:t>882</w:t>
            </w:r>
          </w:p>
        </w:tc>
        <w:tc>
          <w:tcPr>
            <w:tcW w:w="954" w:type="dxa"/>
            <w:tcBorders>
              <w:top w:val="nil"/>
              <w:left w:val="single" w:sz="4" w:space="0" w:color="FFFFFF"/>
              <w:bottom w:val="single" w:sz="4" w:space="0" w:color="FFFFFF"/>
              <w:right w:val="single" w:sz="4" w:space="0" w:color="FFFFFF"/>
            </w:tcBorders>
            <w:shd w:val="clear" w:color="auto" w:fill="auto"/>
            <w:vAlign w:val="center"/>
            <w:hideMark/>
          </w:tcPr>
          <w:p w14:paraId="5805CC58" w14:textId="189C60EF" w:rsidR="009D1CF9" w:rsidRPr="001D6947" w:rsidRDefault="009D1CF9" w:rsidP="002B6B57">
            <w:pPr>
              <w:pStyle w:val="Tabelid"/>
              <w:jc w:val="right"/>
            </w:pPr>
            <w:r w:rsidRPr="001D6947">
              <w:t>3 730</w:t>
            </w:r>
          </w:p>
        </w:tc>
        <w:tc>
          <w:tcPr>
            <w:tcW w:w="951" w:type="dxa"/>
            <w:tcBorders>
              <w:top w:val="nil"/>
              <w:left w:val="nil"/>
              <w:bottom w:val="single" w:sz="4" w:space="0" w:color="FFFFFF"/>
              <w:right w:val="single" w:sz="4" w:space="0" w:color="FFFFFF"/>
            </w:tcBorders>
            <w:shd w:val="clear" w:color="auto" w:fill="auto"/>
            <w:vAlign w:val="center"/>
            <w:hideMark/>
          </w:tcPr>
          <w:p w14:paraId="717D2DBF" w14:textId="16D1FA4F" w:rsidR="009D1CF9" w:rsidRPr="001D6947" w:rsidRDefault="009D1CF9" w:rsidP="002B6B57">
            <w:pPr>
              <w:pStyle w:val="Tabelid"/>
              <w:jc w:val="right"/>
            </w:pPr>
            <w:r w:rsidRPr="001D6947">
              <w:t>4 146</w:t>
            </w:r>
          </w:p>
        </w:tc>
        <w:tc>
          <w:tcPr>
            <w:tcW w:w="951" w:type="dxa"/>
            <w:tcBorders>
              <w:top w:val="nil"/>
              <w:left w:val="nil"/>
              <w:bottom w:val="single" w:sz="4" w:space="0" w:color="FFFFFF"/>
              <w:right w:val="single" w:sz="4" w:space="0" w:color="FFFFFF"/>
            </w:tcBorders>
            <w:shd w:val="clear" w:color="auto" w:fill="auto"/>
            <w:vAlign w:val="center"/>
            <w:hideMark/>
          </w:tcPr>
          <w:p w14:paraId="6A50FA29" w14:textId="0F6D0A90" w:rsidR="009D1CF9" w:rsidRPr="001D6947" w:rsidRDefault="009D1CF9" w:rsidP="002B6B57">
            <w:pPr>
              <w:pStyle w:val="Tabelid"/>
              <w:jc w:val="right"/>
            </w:pPr>
            <w:r w:rsidRPr="001D6947">
              <w:t>5 187</w:t>
            </w:r>
          </w:p>
        </w:tc>
        <w:tc>
          <w:tcPr>
            <w:tcW w:w="951" w:type="dxa"/>
            <w:tcBorders>
              <w:top w:val="nil"/>
              <w:left w:val="nil"/>
              <w:bottom w:val="single" w:sz="4" w:space="0" w:color="FFFFFF"/>
              <w:right w:val="single" w:sz="4" w:space="0" w:color="FFFFFF"/>
            </w:tcBorders>
            <w:shd w:val="clear" w:color="auto" w:fill="auto"/>
            <w:vAlign w:val="center"/>
            <w:hideMark/>
          </w:tcPr>
          <w:p w14:paraId="3F99E7D0" w14:textId="22F37BDB" w:rsidR="009D1CF9" w:rsidRPr="001D6947" w:rsidRDefault="009D1CF9" w:rsidP="002B6B57">
            <w:pPr>
              <w:pStyle w:val="Tabelid"/>
              <w:jc w:val="right"/>
            </w:pPr>
            <w:r w:rsidRPr="001D6947">
              <w:t>5 999</w:t>
            </w:r>
          </w:p>
        </w:tc>
        <w:tc>
          <w:tcPr>
            <w:tcW w:w="952" w:type="dxa"/>
            <w:tcBorders>
              <w:top w:val="nil"/>
              <w:left w:val="nil"/>
              <w:bottom w:val="single" w:sz="4" w:space="0" w:color="FFFFFF"/>
              <w:right w:val="single" w:sz="4" w:space="0" w:color="FFFFFF"/>
            </w:tcBorders>
            <w:shd w:val="clear" w:color="auto" w:fill="auto"/>
            <w:vAlign w:val="center"/>
            <w:hideMark/>
          </w:tcPr>
          <w:p w14:paraId="0E5EE624" w14:textId="35B19F09" w:rsidR="009D1CF9" w:rsidRPr="001D6947" w:rsidRDefault="009D1CF9" w:rsidP="002B6B57">
            <w:pPr>
              <w:pStyle w:val="Tabelid"/>
              <w:jc w:val="right"/>
            </w:pPr>
            <w:r w:rsidRPr="001D6947">
              <w:t>7 421</w:t>
            </w:r>
          </w:p>
        </w:tc>
        <w:tc>
          <w:tcPr>
            <w:tcW w:w="951" w:type="dxa"/>
            <w:tcBorders>
              <w:top w:val="nil"/>
              <w:left w:val="nil"/>
              <w:bottom w:val="single" w:sz="4" w:space="0" w:color="FFFFFF"/>
              <w:right w:val="single" w:sz="4" w:space="0" w:color="FFFFFF"/>
            </w:tcBorders>
            <w:shd w:val="clear" w:color="auto" w:fill="auto"/>
            <w:vAlign w:val="center"/>
            <w:hideMark/>
          </w:tcPr>
          <w:p w14:paraId="69AFA2CE" w14:textId="755CB095" w:rsidR="009D1CF9" w:rsidRPr="001D6947" w:rsidRDefault="009D1CF9" w:rsidP="002B6B57">
            <w:pPr>
              <w:pStyle w:val="Tabelid"/>
              <w:jc w:val="right"/>
            </w:pPr>
            <w:r w:rsidRPr="001D6947">
              <w:t>9 212</w:t>
            </w:r>
          </w:p>
        </w:tc>
        <w:tc>
          <w:tcPr>
            <w:tcW w:w="951" w:type="dxa"/>
            <w:tcBorders>
              <w:top w:val="nil"/>
              <w:left w:val="nil"/>
              <w:bottom w:val="single" w:sz="4" w:space="0" w:color="FFFFFF"/>
              <w:right w:val="single" w:sz="4" w:space="0" w:color="FFFFFF"/>
            </w:tcBorders>
            <w:shd w:val="clear" w:color="auto" w:fill="auto"/>
            <w:vAlign w:val="center"/>
            <w:hideMark/>
          </w:tcPr>
          <w:p w14:paraId="1205ADBA" w14:textId="1A76331C" w:rsidR="009D1CF9" w:rsidRPr="001D6947" w:rsidRDefault="009D1CF9" w:rsidP="002B6B57">
            <w:pPr>
              <w:pStyle w:val="Tabelid"/>
              <w:jc w:val="right"/>
            </w:pPr>
            <w:r w:rsidRPr="001D6947">
              <w:t>10 867</w:t>
            </w:r>
          </w:p>
        </w:tc>
        <w:tc>
          <w:tcPr>
            <w:tcW w:w="939" w:type="dxa"/>
            <w:tcBorders>
              <w:top w:val="nil"/>
              <w:left w:val="nil"/>
              <w:bottom w:val="single" w:sz="4" w:space="0" w:color="FFFFFF"/>
              <w:right w:val="single" w:sz="4" w:space="0" w:color="FFFFFF"/>
            </w:tcBorders>
            <w:shd w:val="clear" w:color="auto" w:fill="auto"/>
            <w:vAlign w:val="center"/>
            <w:hideMark/>
          </w:tcPr>
          <w:p w14:paraId="7EE679D4" w14:textId="0B59DB5B" w:rsidR="009D1CF9" w:rsidRPr="001D6947" w:rsidRDefault="009D1CF9" w:rsidP="002B6B57">
            <w:pPr>
              <w:pStyle w:val="Tabelid"/>
              <w:jc w:val="right"/>
            </w:pPr>
            <w:r w:rsidRPr="001D6947">
              <w:t>12 678</w:t>
            </w:r>
          </w:p>
        </w:tc>
      </w:tr>
      <w:tr w:rsidR="009D1CF9" w:rsidRPr="001D6947" w14:paraId="10C71455" w14:textId="77777777" w:rsidTr="002E0DE5">
        <w:trPr>
          <w:trHeight w:val="333"/>
        </w:trPr>
        <w:tc>
          <w:tcPr>
            <w:tcW w:w="1742" w:type="dxa"/>
            <w:tcBorders>
              <w:top w:val="nil"/>
              <w:left w:val="nil"/>
              <w:bottom w:val="single" w:sz="4" w:space="0" w:color="FFFFFF"/>
              <w:right w:val="single" w:sz="8" w:space="0" w:color="auto"/>
            </w:tcBorders>
            <w:shd w:val="clear" w:color="000000" w:fill="D9D9D9"/>
            <w:vAlign w:val="center"/>
            <w:hideMark/>
          </w:tcPr>
          <w:p w14:paraId="32145A54" w14:textId="77777777" w:rsidR="009D1CF9" w:rsidRPr="001D6947" w:rsidRDefault="009D1CF9" w:rsidP="002B6B57">
            <w:pPr>
              <w:pStyle w:val="Tabelid"/>
            </w:pPr>
            <w:r w:rsidRPr="001D6947">
              <w:t xml:space="preserve"> kohalikud omavalitsused</w:t>
            </w:r>
          </w:p>
        </w:tc>
        <w:tc>
          <w:tcPr>
            <w:tcW w:w="975" w:type="dxa"/>
            <w:tcBorders>
              <w:top w:val="nil"/>
              <w:left w:val="single" w:sz="4" w:space="0" w:color="FFFFFF"/>
              <w:bottom w:val="single" w:sz="4" w:space="0" w:color="FFFFFF"/>
              <w:right w:val="single" w:sz="4" w:space="0" w:color="FFFFFF"/>
            </w:tcBorders>
            <w:shd w:val="clear" w:color="000000" w:fill="D9D9D9"/>
            <w:vAlign w:val="center"/>
            <w:hideMark/>
          </w:tcPr>
          <w:p w14:paraId="51DA1CF6" w14:textId="77777777" w:rsidR="009D1CF9" w:rsidRPr="001D6947" w:rsidRDefault="009D1CF9" w:rsidP="002B6B57">
            <w:pPr>
              <w:pStyle w:val="Tabelid"/>
              <w:jc w:val="right"/>
            </w:pPr>
            <w:r w:rsidRPr="001D6947">
              <w:t>692</w:t>
            </w:r>
          </w:p>
        </w:tc>
        <w:tc>
          <w:tcPr>
            <w:tcW w:w="954" w:type="dxa"/>
            <w:tcBorders>
              <w:top w:val="nil"/>
              <w:left w:val="single" w:sz="4" w:space="0" w:color="FFFFFF"/>
              <w:bottom w:val="single" w:sz="4" w:space="0" w:color="FFFFFF"/>
              <w:right w:val="single" w:sz="4" w:space="0" w:color="FFFFFF"/>
            </w:tcBorders>
            <w:shd w:val="clear" w:color="000000" w:fill="D9D9D9"/>
            <w:vAlign w:val="center"/>
            <w:hideMark/>
          </w:tcPr>
          <w:p w14:paraId="3795D80B" w14:textId="04AF280B" w:rsidR="009D1CF9" w:rsidRPr="001D6947" w:rsidRDefault="009D1CF9" w:rsidP="002B6B57">
            <w:pPr>
              <w:pStyle w:val="Tabelid"/>
              <w:jc w:val="right"/>
            </w:pPr>
            <w:r w:rsidRPr="001D6947">
              <w:t>878</w:t>
            </w:r>
          </w:p>
        </w:tc>
        <w:tc>
          <w:tcPr>
            <w:tcW w:w="951" w:type="dxa"/>
            <w:tcBorders>
              <w:top w:val="nil"/>
              <w:left w:val="nil"/>
              <w:bottom w:val="single" w:sz="4" w:space="0" w:color="FFFFFF"/>
              <w:right w:val="single" w:sz="4" w:space="0" w:color="FFFFFF"/>
            </w:tcBorders>
            <w:shd w:val="clear" w:color="000000" w:fill="D9D9D9"/>
            <w:vAlign w:val="center"/>
            <w:hideMark/>
          </w:tcPr>
          <w:p w14:paraId="0A8DED33" w14:textId="68FB1536" w:rsidR="009D1CF9" w:rsidRPr="001D6947" w:rsidRDefault="009D1CF9" w:rsidP="002B6B57">
            <w:pPr>
              <w:pStyle w:val="Tabelid"/>
              <w:jc w:val="right"/>
            </w:pPr>
            <w:r w:rsidRPr="001D6947">
              <w:t>909</w:t>
            </w:r>
          </w:p>
        </w:tc>
        <w:tc>
          <w:tcPr>
            <w:tcW w:w="951" w:type="dxa"/>
            <w:tcBorders>
              <w:top w:val="nil"/>
              <w:left w:val="nil"/>
              <w:bottom w:val="single" w:sz="4" w:space="0" w:color="FFFFFF"/>
              <w:right w:val="single" w:sz="4" w:space="0" w:color="FFFFFF"/>
            </w:tcBorders>
            <w:shd w:val="clear" w:color="000000" w:fill="D9D9D9"/>
            <w:vAlign w:val="center"/>
            <w:hideMark/>
          </w:tcPr>
          <w:p w14:paraId="01D170C8" w14:textId="056095F4" w:rsidR="009D1CF9" w:rsidRPr="001D6947" w:rsidRDefault="009D1CF9" w:rsidP="002B6B57">
            <w:pPr>
              <w:pStyle w:val="Tabelid"/>
              <w:jc w:val="right"/>
            </w:pPr>
            <w:r w:rsidRPr="001D6947">
              <w:t>989</w:t>
            </w:r>
          </w:p>
        </w:tc>
        <w:tc>
          <w:tcPr>
            <w:tcW w:w="951" w:type="dxa"/>
            <w:tcBorders>
              <w:top w:val="nil"/>
              <w:left w:val="nil"/>
              <w:bottom w:val="single" w:sz="4" w:space="0" w:color="FFFFFF"/>
              <w:right w:val="single" w:sz="4" w:space="0" w:color="FFFFFF"/>
            </w:tcBorders>
            <w:shd w:val="clear" w:color="000000" w:fill="D9D9D9"/>
            <w:vAlign w:val="center"/>
            <w:hideMark/>
          </w:tcPr>
          <w:p w14:paraId="5AE0656C" w14:textId="7EE1F630" w:rsidR="009D1CF9" w:rsidRPr="001D6947" w:rsidRDefault="009D1CF9" w:rsidP="002B6B57">
            <w:pPr>
              <w:pStyle w:val="Tabelid"/>
              <w:jc w:val="right"/>
            </w:pPr>
            <w:r w:rsidRPr="001D6947">
              <w:t>1088</w:t>
            </w:r>
          </w:p>
        </w:tc>
        <w:tc>
          <w:tcPr>
            <w:tcW w:w="952" w:type="dxa"/>
            <w:tcBorders>
              <w:top w:val="nil"/>
              <w:left w:val="nil"/>
              <w:bottom w:val="single" w:sz="4" w:space="0" w:color="FFFFFF"/>
              <w:right w:val="single" w:sz="4" w:space="0" w:color="FFFFFF"/>
            </w:tcBorders>
            <w:shd w:val="clear" w:color="000000" w:fill="D9D9D9"/>
            <w:vAlign w:val="center"/>
            <w:hideMark/>
          </w:tcPr>
          <w:p w14:paraId="6D9FC5FD" w14:textId="6A1D371A" w:rsidR="009D1CF9" w:rsidRPr="001D6947" w:rsidRDefault="009D1CF9" w:rsidP="002B6B57">
            <w:pPr>
              <w:pStyle w:val="Tabelid"/>
              <w:jc w:val="right"/>
            </w:pPr>
            <w:r w:rsidRPr="001D6947">
              <w:t>1196</w:t>
            </w:r>
          </w:p>
        </w:tc>
        <w:tc>
          <w:tcPr>
            <w:tcW w:w="951" w:type="dxa"/>
            <w:tcBorders>
              <w:top w:val="nil"/>
              <w:left w:val="nil"/>
              <w:bottom w:val="single" w:sz="4" w:space="0" w:color="FFFFFF"/>
              <w:right w:val="single" w:sz="4" w:space="0" w:color="FFFFFF"/>
            </w:tcBorders>
            <w:shd w:val="clear" w:color="000000" w:fill="D9D9D9"/>
            <w:vAlign w:val="center"/>
            <w:hideMark/>
          </w:tcPr>
          <w:p w14:paraId="257B5F04" w14:textId="5C4E036F" w:rsidR="009D1CF9" w:rsidRPr="001D6947" w:rsidRDefault="009D1CF9" w:rsidP="002B6B57">
            <w:pPr>
              <w:pStyle w:val="Tabelid"/>
              <w:jc w:val="right"/>
            </w:pPr>
            <w:r w:rsidRPr="001D6947">
              <w:t>1305</w:t>
            </w:r>
          </w:p>
        </w:tc>
        <w:tc>
          <w:tcPr>
            <w:tcW w:w="951" w:type="dxa"/>
            <w:tcBorders>
              <w:top w:val="nil"/>
              <w:left w:val="nil"/>
              <w:bottom w:val="single" w:sz="4" w:space="0" w:color="FFFFFF"/>
              <w:right w:val="single" w:sz="4" w:space="0" w:color="FFFFFF"/>
            </w:tcBorders>
            <w:shd w:val="clear" w:color="000000" w:fill="D9D9D9"/>
            <w:vAlign w:val="center"/>
            <w:hideMark/>
          </w:tcPr>
          <w:p w14:paraId="08F8E9B5" w14:textId="267CE357" w:rsidR="009D1CF9" w:rsidRPr="001D6947" w:rsidRDefault="009D1CF9" w:rsidP="002B6B57">
            <w:pPr>
              <w:pStyle w:val="Tabelid"/>
              <w:jc w:val="right"/>
            </w:pPr>
            <w:r w:rsidRPr="001D6947">
              <w:t>1392</w:t>
            </w:r>
          </w:p>
        </w:tc>
        <w:tc>
          <w:tcPr>
            <w:tcW w:w="939" w:type="dxa"/>
            <w:tcBorders>
              <w:top w:val="nil"/>
              <w:left w:val="nil"/>
              <w:bottom w:val="single" w:sz="4" w:space="0" w:color="FFFFFF"/>
              <w:right w:val="single" w:sz="4" w:space="0" w:color="FFFFFF"/>
            </w:tcBorders>
            <w:shd w:val="clear" w:color="000000" w:fill="D9D9D9"/>
            <w:vAlign w:val="center"/>
            <w:hideMark/>
          </w:tcPr>
          <w:p w14:paraId="502A82A5" w14:textId="1363DE85" w:rsidR="009D1CF9" w:rsidRPr="001D6947" w:rsidRDefault="009D1CF9" w:rsidP="002B6B57">
            <w:pPr>
              <w:pStyle w:val="Tabelid"/>
              <w:jc w:val="right"/>
            </w:pPr>
            <w:r w:rsidRPr="001D6947">
              <w:t>1486</w:t>
            </w:r>
          </w:p>
        </w:tc>
      </w:tr>
      <w:tr w:rsidR="009D1CF9" w:rsidRPr="001D6947" w14:paraId="5D67C111" w14:textId="77777777" w:rsidTr="002E0DE5">
        <w:trPr>
          <w:trHeight w:val="333"/>
        </w:trPr>
        <w:tc>
          <w:tcPr>
            <w:tcW w:w="1742" w:type="dxa"/>
            <w:tcBorders>
              <w:top w:val="nil"/>
              <w:left w:val="nil"/>
              <w:bottom w:val="single" w:sz="4" w:space="0" w:color="FFFFFF"/>
              <w:right w:val="single" w:sz="8" w:space="0" w:color="auto"/>
            </w:tcBorders>
            <w:shd w:val="clear" w:color="auto" w:fill="auto"/>
            <w:vAlign w:val="center"/>
            <w:hideMark/>
          </w:tcPr>
          <w:p w14:paraId="5D310100" w14:textId="77777777" w:rsidR="009D1CF9" w:rsidRPr="002B6B57" w:rsidRDefault="009D1CF9" w:rsidP="002B6B57">
            <w:pPr>
              <w:pStyle w:val="Tabelid"/>
              <w:rPr>
                <w:b/>
                <w:bCs/>
              </w:rPr>
            </w:pPr>
            <w:r w:rsidRPr="002B6B57">
              <w:rPr>
                <w:b/>
                <w:bCs/>
              </w:rPr>
              <w:t>Võlg kokku (% SKPst)</w:t>
            </w:r>
          </w:p>
        </w:tc>
        <w:tc>
          <w:tcPr>
            <w:tcW w:w="975" w:type="dxa"/>
            <w:tcBorders>
              <w:top w:val="nil"/>
              <w:left w:val="single" w:sz="4" w:space="0" w:color="FFFFFF"/>
              <w:bottom w:val="single" w:sz="4" w:space="0" w:color="FFFFFF"/>
              <w:right w:val="single" w:sz="4" w:space="0" w:color="FFFFFF"/>
            </w:tcBorders>
            <w:shd w:val="clear" w:color="auto" w:fill="auto"/>
            <w:vAlign w:val="center"/>
            <w:hideMark/>
          </w:tcPr>
          <w:p w14:paraId="3C0038F0" w14:textId="77777777" w:rsidR="009D1CF9" w:rsidRPr="002B6B57" w:rsidRDefault="009D1CF9" w:rsidP="002B6B57">
            <w:pPr>
              <w:pStyle w:val="Tabelid"/>
              <w:jc w:val="right"/>
              <w:rPr>
                <w:b/>
                <w:bCs/>
              </w:rPr>
            </w:pPr>
            <w:r w:rsidRPr="002B6B57">
              <w:rPr>
                <w:b/>
                <w:bCs/>
              </w:rPr>
              <w:t>9,2</w:t>
            </w:r>
          </w:p>
        </w:tc>
        <w:tc>
          <w:tcPr>
            <w:tcW w:w="954" w:type="dxa"/>
            <w:tcBorders>
              <w:top w:val="nil"/>
              <w:left w:val="single" w:sz="4" w:space="0" w:color="FFFFFF"/>
              <w:bottom w:val="single" w:sz="4" w:space="0" w:color="FFFFFF"/>
              <w:right w:val="single" w:sz="4" w:space="0" w:color="FFFFFF"/>
            </w:tcBorders>
            <w:shd w:val="clear" w:color="auto" w:fill="auto"/>
            <w:vAlign w:val="center"/>
            <w:hideMark/>
          </w:tcPr>
          <w:p w14:paraId="6F952427" w14:textId="671AE74F" w:rsidR="009D1CF9" w:rsidRPr="002B6B57" w:rsidRDefault="009D1CF9" w:rsidP="002B6B57">
            <w:pPr>
              <w:pStyle w:val="Tabelid"/>
              <w:jc w:val="right"/>
              <w:rPr>
                <w:b/>
                <w:bCs/>
              </w:rPr>
            </w:pPr>
            <w:r w:rsidRPr="002B6B57">
              <w:rPr>
                <w:b/>
                <w:bCs/>
              </w:rPr>
              <w:t>18,6</w:t>
            </w:r>
          </w:p>
        </w:tc>
        <w:tc>
          <w:tcPr>
            <w:tcW w:w="951" w:type="dxa"/>
            <w:tcBorders>
              <w:top w:val="nil"/>
              <w:left w:val="nil"/>
              <w:bottom w:val="single" w:sz="4" w:space="0" w:color="FFFFFF"/>
              <w:right w:val="single" w:sz="4" w:space="0" w:color="FFFFFF"/>
            </w:tcBorders>
            <w:shd w:val="clear" w:color="auto" w:fill="auto"/>
            <w:vAlign w:val="center"/>
            <w:hideMark/>
          </w:tcPr>
          <w:p w14:paraId="4798EB9F" w14:textId="49B82E37" w:rsidR="009D1CF9" w:rsidRPr="002B6B57" w:rsidRDefault="009D1CF9" w:rsidP="002B6B57">
            <w:pPr>
              <w:pStyle w:val="Tabelid"/>
              <w:jc w:val="right"/>
              <w:rPr>
                <w:b/>
                <w:bCs/>
              </w:rPr>
            </w:pPr>
            <w:r w:rsidRPr="002B6B57">
              <w:rPr>
                <w:b/>
                <w:bCs/>
              </w:rPr>
              <w:t>17,8</w:t>
            </w:r>
          </w:p>
        </w:tc>
        <w:tc>
          <w:tcPr>
            <w:tcW w:w="951" w:type="dxa"/>
            <w:tcBorders>
              <w:top w:val="nil"/>
              <w:left w:val="nil"/>
              <w:bottom w:val="single" w:sz="4" w:space="0" w:color="FFFFFF"/>
              <w:right w:val="single" w:sz="4" w:space="0" w:color="FFFFFF"/>
            </w:tcBorders>
            <w:shd w:val="clear" w:color="auto" w:fill="auto"/>
            <w:vAlign w:val="center"/>
            <w:hideMark/>
          </w:tcPr>
          <w:p w14:paraId="50940B8D" w14:textId="40590865" w:rsidR="009D1CF9" w:rsidRPr="002B6B57" w:rsidRDefault="009D1CF9" w:rsidP="002B6B57">
            <w:pPr>
              <w:pStyle w:val="Tabelid"/>
              <w:jc w:val="right"/>
              <w:rPr>
                <w:b/>
                <w:bCs/>
              </w:rPr>
            </w:pPr>
            <w:r w:rsidRPr="002B6B57">
              <w:rPr>
                <w:b/>
                <w:bCs/>
              </w:rPr>
              <w:t>18,5</w:t>
            </w:r>
          </w:p>
        </w:tc>
        <w:tc>
          <w:tcPr>
            <w:tcW w:w="951" w:type="dxa"/>
            <w:tcBorders>
              <w:top w:val="nil"/>
              <w:left w:val="nil"/>
              <w:bottom w:val="single" w:sz="4" w:space="0" w:color="FFFFFF"/>
              <w:right w:val="single" w:sz="4" w:space="0" w:color="FFFFFF"/>
            </w:tcBorders>
            <w:shd w:val="clear" w:color="auto" w:fill="auto"/>
            <w:vAlign w:val="center"/>
            <w:hideMark/>
          </w:tcPr>
          <w:p w14:paraId="5A8C036D" w14:textId="51A3282F" w:rsidR="009D1CF9" w:rsidRPr="002B6B57" w:rsidRDefault="009D1CF9" w:rsidP="002B6B57">
            <w:pPr>
              <w:pStyle w:val="Tabelid"/>
              <w:jc w:val="right"/>
              <w:rPr>
                <w:b/>
                <w:bCs/>
              </w:rPr>
            </w:pPr>
            <w:r w:rsidRPr="002B6B57">
              <w:rPr>
                <w:b/>
                <w:bCs/>
              </w:rPr>
              <w:t>19,4</w:t>
            </w:r>
          </w:p>
        </w:tc>
        <w:tc>
          <w:tcPr>
            <w:tcW w:w="952" w:type="dxa"/>
            <w:tcBorders>
              <w:top w:val="nil"/>
              <w:left w:val="nil"/>
              <w:bottom w:val="single" w:sz="4" w:space="0" w:color="FFFFFF"/>
              <w:right w:val="single" w:sz="4" w:space="0" w:color="FFFFFF"/>
            </w:tcBorders>
            <w:shd w:val="clear" w:color="auto" w:fill="auto"/>
            <w:vAlign w:val="center"/>
            <w:hideMark/>
          </w:tcPr>
          <w:p w14:paraId="486C5952" w14:textId="4DB2BE59" w:rsidR="009D1CF9" w:rsidRPr="002B6B57" w:rsidRDefault="009D1CF9" w:rsidP="002B6B57">
            <w:pPr>
              <w:pStyle w:val="Tabelid"/>
              <w:jc w:val="right"/>
              <w:rPr>
                <w:b/>
                <w:bCs/>
              </w:rPr>
            </w:pPr>
            <w:r w:rsidRPr="002B6B57">
              <w:rPr>
                <w:b/>
                <w:bCs/>
              </w:rPr>
              <w:t>21,8</w:t>
            </w:r>
          </w:p>
        </w:tc>
        <w:tc>
          <w:tcPr>
            <w:tcW w:w="951" w:type="dxa"/>
            <w:tcBorders>
              <w:top w:val="nil"/>
              <w:left w:val="nil"/>
              <w:bottom w:val="single" w:sz="4" w:space="0" w:color="FFFFFF"/>
              <w:right w:val="single" w:sz="4" w:space="0" w:color="FFFFFF"/>
            </w:tcBorders>
            <w:shd w:val="clear" w:color="auto" w:fill="auto"/>
            <w:vAlign w:val="center"/>
            <w:hideMark/>
          </w:tcPr>
          <w:p w14:paraId="7FAB67C4" w14:textId="11177EDE" w:rsidR="009D1CF9" w:rsidRPr="002B6B57" w:rsidRDefault="009D1CF9" w:rsidP="002B6B57">
            <w:pPr>
              <w:pStyle w:val="Tabelid"/>
              <w:jc w:val="right"/>
              <w:rPr>
                <w:b/>
                <w:bCs/>
              </w:rPr>
            </w:pPr>
            <w:r w:rsidRPr="002B6B57">
              <w:rPr>
                <w:b/>
                <w:bCs/>
              </w:rPr>
              <w:t>25,0</w:t>
            </w:r>
          </w:p>
        </w:tc>
        <w:tc>
          <w:tcPr>
            <w:tcW w:w="951" w:type="dxa"/>
            <w:tcBorders>
              <w:top w:val="nil"/>
              <w:left w:val="nil"/>
              <w:bottom w:val="single" w:sz="4" w:space="0" w:color="FFFFFF"/>
              <w:right w:val="single" w:sz="4" w:space="0" w:color="FFFFFF"/>
            </w:tcBorders>
            <w:shd w:val="clear" w:color="auto" w:fill="auto"/>
            <w:vAlign w:val="center"/>
            <w:hideMark/>
          </w:tcPr>
          <w:p w14:paraId="6DB8C742" w14:textId="113AF840" w:rsidR="009D1CF9" w:rsidRPr="002B6B57" w:rsidRDefault="009D1CF9" w:rsidP="002B6B57">
            <w:pPr>
              <w:pStyle w:val="Tabelid"/>
              <w:jc w:val="right"/>
              <w:rPr>
                <w:b/>
                <w:bCs/>
              </w:rPr>
            </w:pPr>
            <w:r w:rsidRPr="002B6B57">
              <w:rPr>
                <w:b/>
                <w:bCs/>
              </w:rPr>
              <w:t>27,6</w:t>
            </w:r>
          </w:p>
        </w:tc>
        <w:tc>
          <w:tcPr>
            <w:tcW w:w="939" w:type="dxa"/>
            <w:tcBorders>
              <w:top w:val="nil"/>
              <w:left w:val="nil"/>
              <w:bottom w:val="single" w:sz="4" w:space="0" w:color="FFFFFF"/>
              <w:right w:val="single" w:sz="4" w:space="0" w:color="FFFFFF"/>
            </w:tcBorders>
            <w:shd w:val="clear" w:color="auto" w:fill="auto"/>
            <w:vAlign w:val="center"/>
            <w:hideMark/>
          </w:tcPr>
          <w:p w14:paraId="64C10EF5" w14:textId="5BE13160" w:rsidR="009D1CF9" w:rsidRPr="002B6B57" w:rsidRDefault="009D1CF9" w:rsidP="002B6B57">
            <w:pPr>
              <w:pStyle w:val="Tabelid"/>
              <w:jc w:val="right"/>
              <w:rPr>
                <w:b/>
                <w:bCs/>
              </w:rPr>
            </w:pPr>
            <w:r w:rsidRPr="002B6B57">
              <w:rPr>
                <w:b/>
                <w:bCs/>
              </w:rPr>
              <w:t>30,4</w:t>
            </w:r>
          </w:p>
        </w:tc>
      </w:tr>
      <w:tr w:rsidR="009D1CF9" w:rsidRPr="001D6947" w14:paraId="6564E408" w14:textId="77777777" w:rsidTr="002E0DE5">
        <w:trPr>
          <w:trHeight w:val="333"/>
        </w:trPr>
        <w:tc>
          <w:tcPr>
            <w:tcW w:w="1742" w:type="dxa"/>
            <w:tcBorders>
              <w:top w:val="nil"/>
              <w:left w:val="nil"/>
              <w:bottom w:val="single" w:sz="4" w:space="0" w:color="FFFFFF"/>
              <w:right w:val="single" w:sz="8" w:space="0" w:color="auto"/>
            </w:tcBorders>
            <w:shd w:val="clear" w:color="000000" w:fill="D9D9D9"/>
            <w:vAlign w:val="center"/>
            <w:hideMark/>
          </w:tcPr>
          <w:p w14:paraId="706690E0" w14:textId="77777777" w:rsidR="009D1CF9" w:rsidRPr="001D6947" w:rsidRDefault="009D1CF9" w:rsidP="002B6B57">
            <w:pPr>
              <w:pStyle w:val="Tabelid"/>
            </w:pPr>
            <w:r w:rsidRPr="001D6947">
              <w:t>sh keskvalitsuse panus</w:t>
            </w:r>
          </w:p>
        </w:tc>
        <w:tc>
          <w:tcPr>
            <w:tcW w:w="975" w:type="dxa"/>
            <w:tcBorders>
              <w:top w:val="nil"/>
              <w:left w:val="single" w:sz="4" w:space="0" w:color="FFFFFF"/>
              <w:bottom w:val="single" w:sz="4" w:space="0" w:color="FFFFFF"/>
              <w:right w:val="single" w:sz="4" w:space="0" w:color="FFFFFF"/>
            </w:tcBorders>
            <w:shd w:val="clear" w:color="000000" w:fill="D9D9D9"/>
            <w:vAlign w:val="center"/>
            <w:hideMark/>
          </w:tcPr>
          <w:p w14:paraId="29D0CA34" w14:textId="77777777" w:rsidR="009D1CF9" w:rsidRPr="001D6947" w:rsidRDefault="009D1CF9" w:rsidP="002B6B57">
            <w:pPr>
              <w:pStyle w:val="Tabelid"/>
              <w:jc w:val="right"/>
            </w:pPr>
            <w:r w:rsidRPr="001D6947">
              <w:t>5,9</w:t>
            </w:r>
          </w:p>
        </w:tc>
        <w:tc>
          <w:tcPr>
            <w:tcW w:w="954" w:type="dxa"/>
            <w:tcBorders>
              <w:top w:val="nil"/>
              <w:left w:val="single" w:sz="4" w:space="0" w:color="FFFFFF"/>
              <w:bottom w:val="single" w:sz="4" w:space="0" w:color="FFFFFF"/>
              <w:right w:val="single" w:sz="4" w:space="0" w:color="FFFFFF"/>
            </w:tcBorders>
            <w:shd w:val="clear" w:color="000000" w:fill="D9D9D9"/>
            <w:vAlign w:val="center"/>
            <w:hideMark/>
          </w:tcPr>
          <w:p w14:paraId="49E9E4DD" w14:textId="75D721C9" w:rsidR="009D1CF9" w:rsidRPr="001D6947" w:rsidRDefault="009D1CF9" w:rsidP="002B6B57">
            <w:pPr>
              <w:pStyle w:val="Tabelid"/>
              <w:jc w:val="right"/>
            </w:pPr>
            <w:r w:rsidRPr="001D6947">
              <w:t>15,4</w:t>
            </w:r>
          </w:p>
        </w:tc>
        <w:tc>
          <w:tcPr>
            <w:tcW w:w="951" w:type="dxa"/>
            <w:tcBorders>
              <w:top w:val="nil"/>
              <w:left w:val="nil"/>
              <w:bottom w:val="single" w:sz="4" w:space="0" w:color="FFFFFF"/>
              <w:right w:val="single" w:sz="4" w:space="0" w:color="FFFFFF"/>
            </w:tcBorders>
            <w:shd w:val="clear" w:color="000000" w:fill="D9D9D9"/>
            <w:vAlign w:val="center"/>
            <w:hideMark/>
          </w:tcPr>
          <w:p w14:paraId="2CFDC010" w14:textId="54723890" w:rsidR="009D1CF9" w:rsidRPr="001D6947" w:rsidRDefault="009D1CF9" w:rsidP="002B6B57">
            <w:pPr>
              <w:pStyle w:val="Tabelid"/>
              <w:jc w:val="right"/>
            </w:pPr>
            <w:r w:rsidRPr="001D6947">
              <w:t>14,8</w:t>
            </w:r>
          </w:p>
        </w:tc>
        <w:tc>
          <w:tcPr>
            <w:tcW w:w="951" w:type="dxa"/>
            <w:tcBorders>
              <w:top w:val="nil"/>
              <w:left w:val="nil"/>
              <w:bottom w:val="single" w:sz="4" w:space="0" w:color="FFFFFF"/>
              <w:right w:val="single" w:sz="4" w:space="0" w:color="FFFFFF"/>
            </w:tcBorders>
            <w:shd w:val="clear" w:color="000000" w:fill="D9D9D9"/>
            <w:vAlign w:val="center"/>
            <w:hideMark/>
          </w:tcPr>
          <w:p w14:paraId="1DBDEE1F" w14:textId="7CAF2F2C" w:rsidR="009D1CF9" w:rsidRPr="001D6947" w:rsidRDefault="009D1CF9" w:rsidP="002B6B57">
            <w:pPr>
              <w:pStyle w:val="Tabelid"/>
              <w:jc w:val="right"/>
            </w:pPr>
            <w:r w:rsidRPr="001D6947">
              <w:t>15,7</w:t>
            </w:r>
          </w:p>
        </w:tc>
        <w:tc>
          <w:tcPr>
            <w:tcW w:w="951" w:type="dxa"/>
            <w:tcBorders>
              <w:top w:val="nil"/>
              <w:left w:val="nil"/>
              <w:bottom w:val="single" w:sz="4" w:space="0" w:color="FFFFFF"/>
              <w:right w:val="single" w:sz="4" w:space="0" w:color="FFFFFF"/>
            </w:tcBorders>
            <w:shd w:val="clear" w:color="000000" w:fill="D9D9D9"/>
            <w:vAlign w:val="center"/>
            <w:hideMark/>
          </w:tcPr>
          <w:p w14:paraId="1A64D99B" w14:textId="24CD8FF3" w:rsidR="009D1CF9" w:rsidRPr="001D6947" w:rsidRDefault="009D1CF9" w:rsidP="002B6B57">
            <w:pPr>
              <w:pStyle w:val="Tabelid"/>
              <w:jc w:val="right"/>
            </w:pPr>
            <w:r w:rsidRPr="001D6947">
              <w:t>16,6</w:t>
            </w:r>
          </w:p>
        </w:tc>
        <w:tc>
          <w:tcPr>
            <w:tcW w:w="952" w:type="dxa"/>
            <w:tcBorders>
              <w:top w:val="nil"/>
              <w:left w:val="nil"/>
              <w:bottom w:val="single" w:sz="4" w:space="0" w:color="FFFFFF"/>
              <w:right w:val="single" w:sz="4" w:space="0" w:color="FFFFFF"/>
            </w:tcBorders>
            <w:shd w:val="clear" w:color="000000" w:fill="D9D9D9"/>
            <w:vAlign w:val="center"/>
            <w:hideMark/>
          </w:tcPr>
          <w:p w14:paraId="29FCC795" w14:textId="220D8DD8" w:rsidR="009D1CF9" w:rsidRPr="001D6947" w:rsidRDefault="009D1CF9" w:rsidP="002B6B57">
            <w:pPr>
              <w:pStyle w:val="Tabelid"/>
              <w:jc w:val="right"/>
            </w:pPr>
            <w:r w:rsidRPr="001D6947">
              <w:t>18,9</w:t>
            </w:r>
          </w:p>
        </w:tc>
        <w:tc>
          <w:tcPr>
            <w:tcW w:w="951" w:type="dxa"/>
            <w:tcBorders>
              <w:top w:val="nil"/>
              <w:left w:val="nil"/>
              <w:bottom w:val="single" w:sz="4" w:space="0" w:color="FFFFFF"/>
              <w:right w:val="single" w:sz="4" w:space="0" w:color="FFFFFF"/>
            </w:tcBorders>
            <w:shd w:val="clear" w:color="000000" w:fill="D9D9D9"/>
            <w:vAlign w:val="center"/>
            <w:hideMark/>
          </w:tcPr>
          <w:p w14:paraId="6181626A" w14:textId="1E739953" w:rsidR="009D1CF9" w:rsidRPr="001D6947" w:rsidRDefault="009D1CF9" w:rsidP="002B6B57">
            <w:pPr>
              <w:pStyle w:val="Tabelid"/>
              <w:jc w:val="right"/>
            </w:pPr>
            <w:r w:rsidRPr="001D6947">
              <w:t>22,0</w:t>
            </w:r>
          </w:p>
        </w:tc>
        <w:tc>
          <w:tcPr>
            <w:tcW w:w="951" w:type="dxa"/>
            <w:tcBorders>
              <w:top w:val="nil"/>
              <w:left w:val="nil"/>
              <w:bottom w:val="single" w:sz="4" w:space="0" w:color="FFFFFF"/>
              <w:right w:val="single" w:sz="4" w:space="0" w:color="FFFFFF"/>
            </w:tcBorders>
            <w:shd w:val="clear" w:color="000000" w:fill="D9D9D9"/>
            <w:vAlign w:val="center"/>
            <w:hideMark/>
          </w:tcPr>
          <w:p w14:paraId="3BA95AB1" w14:textId="1B1611C7" w:rsidR="009D1CF9" w:rsidRPr="001D6947" w:rsidRDefault="009D1CF9" w:rsidP="002B6B57">
            <w:pPr>
              <w:pStyle w:val="Tabelid"/>
              <w:jc w:val="right"/>
            </w:pPr>
            <w:r w:rsidRPr="001D6947">
              <w:t>24,6</w:t>
            </w:r>
          </w:p>
        </w:tc>
        <w:tc>
          <w:tcPr>
            <w:tcW w:w="939" w:type="dxa"/>
            <w:tcBorders>
              <w:top w:val="nil"/>
              <w:left w:val="nil"/>
              <w:bottom w:val="single" w:sz="4" w:space="0" w:color="FFFFFF"/>
              <w:right w:val="single" w:sz="4" w:space="0" w:color="FFFFFF"/>
            </w:tcBorders>
            <w:shd w:val="clear" w:color="000000" w:fill="D9D9D9"/>
            <w:vAlign w:val="center"/>
            <w:hideMark/>
          </w:tcPr>
          <w:p w14:paraId="6B091E80" w14:textId="081B3728" w:rsidR="009D1CF9" w:rsidRPr="001D6947" w:rsidRDefault="009D1CF9" w:rsidP="002B6B57">
            <w:pPr>
              <w:pStyle w:val="Tabelid"/>
              <w:jc w:val="right"/>
            </w:pPr>
            <w:r w:rsidRPr="001D6947">
              <w:t>27,3</w:t>
            </w:r>
          </w:p>
        </w:tc>
      </w:tr>
      <w:tr w:rsidR="009D1CF9" w:rsidRPr="001D6947" w14:paraId="3946E1F9" w14:textId="77777777" w:rsidTr="002E0DE5">
        <w:trPr>
          <w:trHeight w:val="333"/>
        </w:trPr>
        <w:tc>
          <w:tcPr>
            <w:tcW w:w="1742" w:type="dxa"/>
            <w:tcBorders>
              <w:top w:val="nil"/>
              <w:left w:val="nil"/>
              <w:bottom w:val="single" w:sz="4" w:space="0" w:color="FFFFFF"/>
              <w:right w:val="single" w:sz="8" w:space="0" w:color="auto"/>
            </w:tcBorders>
            <w:shd w:val="clear" w:color="auto" w:fill="auto"/>
            <w:vAlign w:val="center"/>
            <w:hideMark/>
          </w:tcPr>
          <w:p w14:paraId="62969F2C" w14:textId="77777777" w:rsidR="009D1CF9" w:rsidRPr="001D6947" w:rsidRDefault="009D1CF9" w:rsidP="002B6B57">
            <w:pPr>
              <w:pStyle w:val="Tabelid"/>
            </w:pPr>
            <w:r w:rsidRPr="001D6947">
              <w:t xml:space="preserve"> </w:t>
            </w:r>
            <w:proofErr w:type="spellStart"/>
            <w:r w:rsidRPr="001D6947">
              <w:t>EFSFi</w:t>
            </w:r>
            <w:proofErr w:type="spellEnd"/>
            <w:r w:rsidRPr="001D6947">
              <w:t xml:space="preserve"> mõju</w:t>
            </w:r>
          </w:p>
        </w:tc>
        <w:tc>
          <w:tcPr>
            <w:tcW w:w="975" w:type="dxa"/>
            <w:tcBorders>
              <w:top w:val="nil"/>
              <w:left w:val="single" w:sz="4" w:space="0" w:color="FFFFFF"/>
              <w:bottom w:val="single" w:sz="4" w:space="0" w:color="FFFFFF"/>
              <w:right w:val="single" w:sz="4" w:space="0" w:color="FFFFFF"/>
            </w:tcBorders>
            <w:shd w:val="clear" w:color="auto" w:fill="auto"/>
            <w:vAlign w:val="center"/>
            <w:hideMark/>
          </w:tcPr>
          <w:p w14:paraId="476547A1" w14:textId="77777777" w:rsidR="009D1CF9" w:rsidRPr="001D6947" w:rsidRDefault="009D1CF9" w:rsidP="002B6B57">
            <w:pPr>
              <w:pStyle w:val="Tabelid"/>
              <w:jc w:val="right"/>
            </w:pPr>
            <w:r w:rsidRPr="001D6947">
              <w:t>1,8</w:t>
            </w:r>
          </w:p>
        </w:tc>
        <w:tc>
          <w:tcPr>
            <w:tcW w:w="954" w:type="dxa"/>
            <w:tcBorders>
              <w:top w:val="nil"/>
              <w:left w:val="single" w:sz="4" w:space="0" w:color="FFFFFF"/>
              <w:bottom w:val="single" w:sz="4" w:space="0" w:color="FFFFFF"/>
              <w:right w:val="single" w:sz="4" w:space="0" w:color="FFFFFF"/>
            </w:tcBorders>
            <w:shd w:val="clear" w:color="auto" w:fill="auto"/>
            <w:vAlign w:val="center"/>
            <w:hideMark/>
          </w:tcPr>
          <w:p w14:paraId="1379D3DE" w14:textId="32FE1144" w:rsidR="009D1CF9" w:rsidRPr="001D6947" w:rsidRDefault="009D1CF9" w:rsidP="002B6B57">
            <w:pPr>
              <w:pStyle w:val="Tabelid"/>
              <w:jc w:val="right"/>
            </w:pPr>
            <w:r w:rsidRPr="001D6947">
              <w:t>1,8</w:t>
            </w:r>
          </w:p>
        </w:tc>
        <w:tc>
          <w:tcPr>
            <w:tcW w:w="951" w:type="dxa"/>
            <w:tcBorders>
              <w:top w:val="nil"/>
              <w:left w:val="nil"/>
              <w:bottom w:val="single" w:sz="4" w:space="0" w:color="FFFFFF"/>
              <w:right w:val="single" w:sz="4" w:space="0" w:color="FFFFFF"/>
            </w:tcBorders>
            <w:shd w:val="clear" w:color="auto" w:fill="auto"/>
            <w:vAlign w:val="center"/>
            <w:hideMark/>
          </w:tcPr>
          <w:p w14:paraId="43C1A019" w14:textId="25FC8416" w:rsidR="009D1CF9" w:rsidRPr="001D6947" w:rsidRDefault="009D1CF9" w:rsidP="002B6B57">
            <w:pPr>
              <w:pStyle w:val="Tabelid"/>
              <w:jc w:val="right"/>
            </w:pPr>
            <w:r w:rsidRPr="001D6947">
              <w:t>1,5</w:t>
            </w:r>
          </w:p>
        </w:tc>
        <w:tc>
          <w:tcPr>
            <w:tcW w:w="951" w:type="dxa"/>
            <w:tcBorders>
              <w:top w:val="nil"/>
              <w:left w:val="nil"/>
              <w:bottom w:val="single" w:sz="4" w:space="0" w:color="FFFFFF"/>
              <w:right w:val="single" w:sz="4" w:space="0" w:color="FFFFFF"/>
            </w:tcBorders>
            <w:shd w:val="clear" w:color="auto" w:fill="auto"/>
            <w:vAlign w:val="center"/>
            <w:hideMark/>
          </w:tcPr>
          <w:p w14:paraId="7627BE9D" w14:textId="12345292" w:rsidR="009D1CF9" w:rsidRPr="001D6947" w:rsidRDefault="009D1CF9" w:rsidP="002B6B57">
            <w:pPr>
              <w:pStyle w:val="Tabelid"/>
              <w:jc w:val="right"/>
            </w:pPr>
            <w:r w:rsidRPr="001D6947">
              <w:t>1,3</w:t>
            </w:r>
          </w:p>
        </w:tc>
        <w:tc>
          <w:tcPr>
            <w:tcW w:w="951" w:type="dxa"/>
            <w:tcBorders>
              <w:top w:val="nil"/>
              <w:left w:val="nil"/>
              <w:bottom w:val="single" w:sz="4" w:space="0" w:color="FFFFFF"/>
              <w:right w:val="single" w:sz="4" w:space="0" w:color="FFFFFF"/>
            </w:tcBorders>
            <w:shd w:val="clear" w:color="auto" w:fill="auto"/>
            <w:vAlign w:val="center"/>
            <w:hideMark/>
          </w:tcPr>
          <w:p w14:paraId="6DC87D93" w14:textId="34ADE3F3" w:rsidR="009D1CF9" w:rsidRPr="001D6947" w:rsidRDefault="009D1CF9" w:rsidP="002B6B57">
            <w:pPr>
              <w:pStyle w:val="Tabelid"/>
              <w:jc w:val="right"/>
            </w:pPr>
            <w:r w:rsidRPr="001D6947">
              <w:t>1,1</w:t>
            </w:r>
          </w:p>
        </w:tc>
        <w:tc>
          <w:tcPr>
            <w:tcW w:w="952" w:type="dxa"/>
            <w:tcBorders>
              <w:top w:val="nil"/>
              <w:left w:val="nil"/>
              <w:bottom w:val="single" w:sz="4" w:space="0" w:color="FFFFFF"/>
              <w:right w:val="single" w:sz="4" w:space="0" w:color="FFFFFF"/>
            </w:tcBorders>
            <w:shd w:val="clear" w:color="auto" w:fill="auto"/>
            <w:vAlign w:val="center"/>
            <w:hideMark/>
          </w:tcPr>
          <w:p w14:paraId="3F866A03" w14:textId="662D3F91" w:rsidR="009D1CF9" w:rsidRPr="001D6947" w:rsidRDefault="009D1CF9" w:rsidP="002B6B57">
            <w:pPr>
              <w:pStyle w:val="Tabelid"/>
              <w:jc w:val="right"/>
            </w:pPr>
            <w:r w:rsidRPr="001D6947">
              <w:t>1,0</w:t>
            </w:r>
          </w:p>
        </w:tc>
        <w:tc>
          <w:tcPr>
            <w:tcW w:w="951" w:type="dxa"/>
            <w:tcBorders>
              <w:top w:val="nil"/>
              <w:left w:val="nil"/>
              <w:bottom w:val="single" w:sz="4" w:space="0" w:color="FFFFFF"/>
              <w:right w:val="single" w:sz="4" w:space="0" w:color="FFFFFF"/>
            </w:tcBorders>
            <w:shd w:val="clear" w:color="auto" w:fill="auto"/>
            <w:vAlign w:val="center"/>
            <w:hideMark/>
          </w:tcPr>
          <w:p w14:paraId="229DC770" w14:textId="40605330" w:rsidR="009D1CF9" w:rsidRPr="001D6947" w:rsidRDefault="009D1CF9" w:rsidP="002B6B57">
            <w:pPr>
              <w:pStyle w:val="Tabelid"/>
              <w:jc w:val="right"/>
            </w:pPr>
            <w:r w:rsidRPr="001D6947">
              <w:t>0,9</w:t>
            </w:r>
          </w:p>
        </w:tc>
        <w:tc>
          <w:tcPr>
            <w:tcW w:w="951" w:type="dxa"/>
            <w:tcBorders>
              <w:top w:val="nil"/>
              <w:left w:val="nil"/>
              <w:bottom w:val="single" w:sz="4" w:space="0" w:color="FFFFFF"/>
              <w:right w:val="single" w:sz="4" w:space="0" w:color="FFFFFF"/>
            </w:tcBorders>
            <w:shd w:val="clear" w:color="auto" w:fill="auto"/>
            <w:vAlign w:val="center"/>
            <w:hideMark/>
          </w:tcPr>
          <w:p w14:paraId="19F8DF11" w14:textId="7ECD37C6" w:rsidR="009D1CF9" w:rsidRPr="001D6947" w:rsidRDefault="009D1CF9" w:rsidP="002B6B57">
            <w:pPr>
              <w:pStyle w:val="Tabelid"/>
              <w:jc w:val="right"/>
            </w:pPr>
            <w:r w:rsidRPr="001D6947">
              <w:t>0,9</w:t>
            </w:r>
          </w:p>
        </w:tc>
        <w:tc>
          <w:tcPr>
            <w:tcW w:w="939" w:type="dxa"/>
            <w:tcBorders>
              <w:top w:val="nil"/>
              <w:left w:val="nil"/>
              <w:bottom w:val="single" w:sz="4" w:space="0" w:color="FFFFFF"/>
              <w:right w:val="single" w:sz="4" w:space="0" w:color="FFFFFF"/>
            </w:tcBorders>
            <w:shd w:val="clear" w:color="auto" w:fill="auto"/>
            <w:vAlign w:val="center"/>
            <w:hideMark/>
          </w:tcPr>
          <w:p w14:paraId="7B925EAC" w14:textId="69E3C8F1" w:rsidR="009D1CF9" w:rsidRPr="001D6947" w:rsidRDefault="009D1CF9" w:rsidP="002B6B57">
            <w:pPr>
              <w:pStyle w:val="Tabelid"/>
              <w:jc w:val="right"/>
            </w:pPr>
            <w:r w:rsidRPr="001D6947">
              <w:t>0,9</w:t>
            </w:r>
          </w:p>
        </w:tc>
      </w:tr>
      <w:tr w:rsidR="009D1CF9" w:rsidRPr="001D6947" w14:paraId="05C25C51" w14:textId="77777777" w:rsidTr="002E0DE5">
        <w:trPr>
          <w:trHeight w:val="333"/>
        </w:trPr>
        <w:tc>
          <w:tcPr>
            <w:tcW w:w="1742" w:type="dxa"/>
            <w:tcBorders>
              <w:top w:val="nil"/>
              <w:left w:val="nil"/>
              <w:bottom w:val="nil"/>
              <w:right w:val="single" w:sz="8" w:space="0" w:color="auto"/>
            </w:tcBorders>
            <w:shd w:val="clear" w:color="000000" w:fill="D9D9D9"/>
            <w:vAlign w:val="center"/>
            <w:hideMark/>
          </w:tcPr>
          <w:p w14:paraId="6F57E01A" w14:textId="77777777" w:rsidR="009D1CF9" w:rsidRPr="001D6947" w:rsidRDefault="009D1CF9" w:rsidP="002B6B57">
            <w:pPr>
              <w:pStyle w:val="Tabelid"/>
            </w:pPr>
            <w:r w:rsidRPr="001D6947">
              <w:t xml:space="preserve"> keskvalitsus ilma EFSF-ta</w:t>
            </w:r>
          </w:p>
        </w:tc>
        <w:tc>
          <w:tcPr>
            <w:tcW w:w="975" w:type="dxa"/>
            <w:tcBorders>
              <w:top w:val="nil"/>
              <w:left w:val="single" w:sz="4" w:space="0" w:color="FFFFFF"/>
              <w:bottom w:val="nil"/>
              <w:right w:val="single" w:sz="4" w:space="0" w:color="FFFFFF"/>
            </w:tcBorders>
            <w:shd w:val="clear" w:color="000000" w:fill="D9D9D9"/>
            <w:vAlign w:val="center"/>
            <w:hideMark/>
          </w:tcPr>
          <w:p w14:paraId="193D2CB3" w14:textId="77777777" w:rsidR="009D1CF9" w:rsidRPr="001D6947" w:rsidRDefault="009D1CF9" w:rsidP="002B6B57">
            <w:pPr>
              <w:pStyle w:val="Tabelid"/>
              <w:jc w:val="right"/>
            </w:pPr>
            <w:r w:rsidRPr="001D6947">
              <w:t>4,1</w:t>
            </w:r>
          </w:p>
        </w:tc>
        <w:tc>
          <w:tcPr>
            <w:tcW w:w="954" w:type="dxa"/>
            <w:tcBorders>
              <w:top w:val="nil"/>
              <w:left w:val="single" w:sz="4" w:space="0" w:color="FFFFFF"/>
              <w:bottom w:val="nil"/>
              <w:right w:val="single" w:sz="4" w:space="0" w:color="FFFFFF"/>
            </w:tcBorders>
            <w:shd w:val="clear" w:color="000000" w:fill="D9D9D9"/>
            <w:vAlign w:val="center"/>
            <w:hideMark/>
          </w:tcPr>
          <w:p w14:paraId="5AE88E31" w14:textId="4779EC37" w:rsidR="009D1CF9" w:rsidRPr="001D6947" w:rsidRDefault="009D1CF9" w:rsidP="002B6B57">
            <w:pPr>
              <w:pStyle w:val="Tabelid"/>
              <w:jc w:val="right"/>
            </w:pPr>
            <w:r w:rsidRPr="001D6947">
              <w:t>13,6</w:t>
            </w:r>
          </w:p>
        </w:tc>
        <w:tc>
          <w:tcPr>
            <w:tcW w:w="951" w:type="dxa"/>
            <w:tcBorders>
              <w:top w:val="nil"/>
              <w:left w:val="nil"/>
              <w:bottom w:val="nil"/>
              <w:right w:val="single" w:sz="4" w:space="0" w:color="FFFFFF"/>
            </w:tcBorders>
            <w:shd w:val="clear" w:color="000000" w:fill="D9D9D9"/>
            <w:vAlign w:val="center"/>
            <w:hideMark/>
          </w:tcPr>
          <w:p w14:paraId="26A3CC5D" w14:textId="494A100E" w:rsidR="009D1CF9" w:rsidRPr="001D6947" w:rsidRDefault="009D1CF9" w:rsidP="002B6B57">
            <w:pPr>
              <w:pStyle w:val="Tabelid"/>
              <w:jc w:val="right"/>
            </w:pPr>
            <w:r w:rsidRPr="001D6947">
              <w:t>13,3</w:t>
            </w:r>
          </w:p>
        </w:tc>
        <w:tc>
          <w:tcPr>
            <w:tcW w:w="951" w:type="dxa"/>
            <w:tcBorders>
              <w:top w:val="nil"/>
              <w:left w:val="nil"/>
              <w:bottom w:val="nil"/>
              <w:right w:val="single" w:sz="4" w:space="0" w:color="FFFFFF"/>
            </w:tcBorders>
            <w:shd w:val="clear" w:color="000000" w:fill="D9D9D9"/>
            <w:vAlign w:val="center"/>
            <w:hideMark/>
          </w:tcPr>
          <w:p w14:paraId="74E3C819" w14:textId="51DCA01F" w:rsidR="009D1CF9" w:rsidRPr="001D6947" w:rsidRDefault="009D1CF9" w:rsidP="002B6B57">
            <w:pPr>
              <w:pStyle w:val="Tabelid"/>
              <w:jc w:val="right"/>
            </w:pPr>
            <w:r w:rsidRPr="001D6947">
              <w:t>14,4</w:t>
            </w:r>
          </w:p>
        </w:tc>
        <w:tc>
          <w:tcPr>
            <w:tcW w:w="951" w:type="dxa"/>
            <w:tcBorders>
              <w:top w:val="nil"/>
              <w:left w:val="nil"/>
              <w:bottom w:val="nil"/>
              <w:right w:val="single" w:sz="4" w:space="0" w:color="FFFFFF"/>
            </w:tcBorders>
            <w:shd w:val="clear" w:color="000000" w:fill="D9D9D9"/>
            <w:vAlign w:val="center"/>
            <w:hideMark/>
          </w:tcPr>
          <w:p w14:paraId="61806FC0" w14:textId="11911AC4" w:rsidR="009D1CF9" w:rsidRPr="001D6947" w:rsidRDefault="009D1CF9" w:rsidP="002B6B57">
            <w:pPr>
              <w:pStyle w:val="Tabelid"/>
              <w:jc w:val="right"/>
            </w:pPr>
            <w:r w:rsidRPr="001D6947">
              <w:t>15,5</w:t>
            </w:r>
          </w:p>
        </w:tc>
        <w:tc>
          <w:tcPr>
            <w:tcW w:w="952" w:type="dxa"/>
            <w:tcBorders>
              <w:top w:val="nil"/>
              <w:left w:val="nil"/>
              <w:bottom w:val="nil"/>
              <w:right w:val="single" w:sz="4" w:space="0" w:color="FFFFFF"/>
            </w:tcBorders>
            <w:shd w:val="clear" w:color="000000" w:fill="D9D9D9"/>
            <w:vAlign w:val="center"/>
            <w:hideMark/>
          </w:tcPr>
          <w:p w14:paraId="174BFE95" w14:textId="0C401619" w:rsidR="009D1CF9" w:rsidRPr="001D6947" w:rsidRDefault="009D1CF9" w:rsidP="002B6B57">
            <w:pPr>
              <w:pStyle w:val="Tabelid"/>
              <w:jc w:val="right"/>
            </w:pPr>
            <w:r w:rsidRPr="001D6947">
              <w:t>17,9</w:t>
            </w:r>
          </w:p>
        </w:tc>
        <w:tc>
          <w:tcPr>
            <w:tcW w:w="951" w:type="dxa"/>
            <w:tcBorders>
              <w:top w:val="nil"/>
              <w:left w:val="nil"/>
              <w:bottom w:val="nil"/>
              <w:right w:val="single" w:sz="4" w:space="0" w:color="FFFFFF"/>
            </w:tcBorders>
            <w:shd w:val="clear" w:color="000000" w:fill="D9D9D9"/>
            <w:vAlign w:val="center"/>
            <w:hideMark/>
          </w:tcPr>
          <w:p w14:paraId="597247D5" w14:textId="3A1E098B" w:rsidR="009D1CF9" w:rsidRPr="001D6947" w:rsidRDefault="009D1CF9" w:rsidP="002B6B57">
            <w:pPr>
              <w:pStyle w:val="Tabelid"/>
              <w:jc w:val="right"/>
            </w:pPr>
            <w:r w:rsidRPr="001D6947">
              <w:t>21,1</w:t>
            </w:r>
          </w:p>
        </w:tc>
        <w:tc>
          <w:tcPr>
            <w:tcW w:w="951" w:type="dxa"/>
            <w:tcBorders>
              <w:top w:val="nil"/>
              <w:left w:val="nil"/>
              <w:bottom w:val="nil"/>
              <w:right w:val="single" w:sz="4" w:space="0" w:color="FFFFFF"/>
            </w:tcBorders>
            <w:shd w:val="clear" w:color="000000" w:fill="D9D9D9"/>
            <w:vAlign w:val="center"/>
            <w:hideMark/>
          </w:tcPr>
          <w:p w14:paraId="103AAEF1" w14:textId="7B0ADFEB" w:rsidR="009D1CF9" w:rsidRPr="001D6947" w:rsidRDefault="009D1CF9" w:rsidP="002B6B57">
            <w:pPr>
              <w:pStyle w:val="Tabelid"/>
              <w:jc w:val="right"/>
            </w:pPr>
            <w:r w:rsidRPr="001D6947">
              <w:t>23,7</w:t>
            </w:r>
          </w:p>
        </w:tc>
        <w:tc>
          <w:tcPr>
            <w:tcW w:w="939" w:type="dxa"/>
            <w:tcBorders>
              <w:top w:val="nil"/>
              <w:left w:val="nil"/>
              <w:bottom w:val="nil"/>
              <w:right w:val="single" w:sz="4" w:space="0" w:color="FFFFFF"/>
            </w:tcBorders>
            <w:shd w:val="clear" w:color="000000" w:fill="D9D9D9"/>
            <w:vAlign w:val="center"/>
            <w:hideMark/>
          </w:tcPr>
          <w:p w14:paraId="365610FE" w14:textId="28D17625" w:rsidR="009D1CF9" w:rsidRPr="001D6947" w:rsidRDefault="009D1CF9" w:rsidP="002B6B57">
            <w:pPr>
              <w:pStyle w:val="Tabelid"/>
              <w:jc w:val="right"/>
            </w:pPr>
            <w:r w:rsidRPr="001D6947">
              <w:t>26,5</w:t>
            </w:r>
          </w:p>
        </w:tc>
      </w:tr>
      <w:tr w:rsidR="009D1CF9" w:rsidRPr="003A6952" w14:paraId="6ABE0925" w14:textId="77777777" w:rsidTr="00CA1278">
        <w:trPr>
          <w:trHeight w:val="333"/>
        </w:trPr>
        <w:tc>
          <w:tcPr>
            <w:tcW w:w="1742" w:type="dxa"/>
            <w:tcBorders>
              <w:top w:val="nil"/>
              <w:left w:val="nil"/>
              <w:bottom w:val="nil"/>
              <w:right w:val="single" w:sz="8" w:space="0" w:color="auto"/>
            </w:tcBorders>
            <w:shd w:val="clear" w:color="auto" w:fill="auto"/>
            <w:vAlign w:val="center"/>
            <w:hideMark/>
          </w:tcPr>
          <w:p w14:paraId="2E5E3FD4" w14:textId="77777777" w:rsidR="009D1CF9" w:rsidRPr="001D6947" w:rsidRDefault="009D1CF9" w:rsidP="002B6B57">
            <w:pPr>
              <w:pStyle w:val="Tabelid"/>
            </w:pPr>
            <w:r w:rsidRPr="001D6947">
              <w:t xml:space="preserve"> kohalikud omavalitsused</w:t>
            </w:r>
          </w:p>
        </w:tc>
        <w:tc>
          <w:tcPr>
            <w:tcW w:w="975" w:type="dxa"/>
            <w:tcBorders>
              <w:top w:val="nil"/>
              <w:left w:val="nil"/>
              <w:bottom w:val="nil"/>
              <w:right w:val="nil"/>
            </w:tcBorders>
            <w:shd w:val="clear" w:color="auto" w:fill="auto"/>
            <w:vAlign w:val="center"/>
            <w:hideMark/>
          </w:tcPr>
          <w:p w14:paraId="70C381B4" w14:textId="56ED2C03" w:rsidR="009D1CF9" w:rsidRPr="001D6947" w:rsidRDefault="009D1CF9" w:rsidP="002B6B57">
            <w:pPr>
              <w:pStyle w:val="Tabelid"/>
              <w:jc w:val="right"/>
            </w:pPr>
            <w:r w:rsidRPr="001D6947">
              <w:t>3,3</w:t>
            </w:r>
          </w:p>
        </w:tc>
        <w:tc>
          <w:tcPr>
            <w:tcW w:w="954" w:type="dxa"/>
            <w:tcBorders>
              <w:top w:val="nil"/>
              <w:left w:val="nil"/>
              <w:bottom w:val="nil"/>
              <w:right w:val="nil"/>
            </w:tcBorders>
            <w:shd w:val="clear" w:color="auto" w:fill="auto"/>
            <w:vAlign w:val="center"/>
            <w:hideMark/>
          </w:tcPr>
          <w:p w14:paraId="1753C07E" w14:textId="6571FD2C" w:rsidR="009D1CF9" w:rsidRPr="001D6947" w:rsidRDefault="009D1CF9" w:rsidP="002B6B57">
            <w:pPr>
              <w:pStyle w:val="Tabelid"/>
              <w:jc w:val="right"/>
            </w:pPr>
            <w:r w:rsidRPr="001D6947">
              <w:t>3,2</w:t>
            </w:r>
          </w:p>
        </w:tc>
        <w:tc>
          <w:tcPr>
            <w:tcW w:w="951" w:type="dxa"/>
            <w:tcBorders>
              <w:top w:val="nil"/>
              <w:left w:val="nil"/>
              <w:bottom w:val="nil"/>
              <w:right w:val="nil"/>
            </w:tcBorders>
            <w:shd w:val="clear" w:color="auto" w:fill="auto"/>
            <w:vAlign w:val="center"/>
            <w:hideMark/>
          </w:tcPr>
          <w:p w14:paraId="030C5D0C" w14:textId="68A3BBC8" w:rsidR="009D1CF9" w:rsidRPr="001D6947" w:rsidRDefault="009D1CF9" w:rsidP="002B6B57">
            <w:pPr>
              <w:pStyle w:val="Tabelid"/>
              <w:jc w:val="right"/>
            </w:pPr>
            <w:r w:rsidRPr="001D6947">
              <w:t>2,9</w:t>
            </w:r>
          </w:p>
        </w:tc>
        <w:tc>
          <w:tcPr>
            <w:tcW w:w="951" w:type="dxa"/>
            <w:tcBorders>
              <w:top w:val="nil"/>
              <w:left w:val="nil"/>
              <w:bottom w:val="nil"/>
              <w:right w:val="nil"/>
            </w:tcBorders>
            <w:shd w:val="clear" w:color="auto" w:fill="auto"/>
            <w:vAlign w:val="center"/>
            <w:hideMark/>
          </w:tcPr>
          <w:p w14:paraId="0C5A3C7A" w14:textId="69143625" w:rsidR="009D1CF9" w:rsidRPr="001D6947" w:rsidRDefault="009D1CF9" w:rsidP="002B6B57">
            <w:pPr>
              <w:pStyle w:val="Tabelid"/>
              <w:jc w:val="right"/>
            </w:pPr>
            <w:r w:rsidRPr="001D6947">
              <w:t>2,7</w:t>
            </w:r>
          </w:p>
        </w:tc>
        <w:tc>
          <w:tcPr>
            <w:tcW w:w="951" w:type="dxa"/>
            <w:tcBorders>
              <w:top w:val="nil"/>
              <w:left w:val="nil"/>
              <w:bottom w:val="nil"/>
              <w:right w:val="nil"/>
            </w:tcBorders>
            <w:shd w:val="clear" w:color="auto" w:fill="auto"/>
            <w:vAlign w:val="center"/>
            <w:hideMark/>
          </w:tcPr>
          <w:p w14:paraId="7CCEC0C0" w14:textId="641EA034" w:rsidR="009D1CF9" w:rsidRPr="001D6947" w:rsidRDefault="009D1CF9" w:rsidP="002B6B57">
            <w:pPr>
              <w:pStyle w:val="Tabelid"/>
              <w:jc w:val="right"/>
            </w:pPr>
            <w:r w:rsidRPr="001D6947">
              <w:t>2,8</w:t>
            </w:r>
          </w:p>
        </w:tc>
        <w:tc>
          <w:tcPr>
            <w:tcW w:w="952" w:type="dxa"/>
            <w:tcBorders>
              <w:top w:val="nil"/>
              <w:left w:val="nil"/>
              <w:bottom w:val="nil"/>
              <w:right w:val="nil"/>
            </w:tcBorders>
            <w:shd w:val="clear" w:color="auto" w:fill="auto"/>
            <w:vAlign w:val="center"/>
            <w:hideMark/>
          </w:tcPr>
          <w:p w14:paraId="22C591EF" w14:textId="1D28A935" w:rsidR="009D1CF9" w:rsidRPr="001D6947" w:rsidRDefault="009D1CF9" w:rsidP="002B6B57">
            <w:pPr>
              <w:pStyle w:val="Tabelid"/>
              <w:jc w:val="right"/>
            </w:pPr>
            <w:r w:rsidRPr="001D6947">
              <w:t>2,9</w:t>
            </w:r>
          </w:p>
        </w:tc>
        <w:tc>
          <w:tcPr>
            <w:tcW w:w="951" w:type="dxa"/>
            <w:tcBorders>
              <w:top w:val="nil"/>
              <w:left w:val="nil"/>
              <w:bottom w:val="nil"/>
              <w:right w:val="nil"/>
            </w:tcBorders>
            <w:shd w:val="clear" w:color="auto" w:fill="auto"/>
            <w:vAlign w:val="center"/>
            <w:hideMark/>
          </w:tcPr>
          <w:p w14:paraId="107C42B0" w14:textId="05138131" w:rsidR="009D1CF9" w:rsidRPr="001D6947" w:rsidRDefault="009D1CF9" w:rsidP="002B6B57">
            <w:pPr>
              <w:pStyle w:val="Tabelid"/>
              <w:jc w:val="right"/>
            </w:pPr>
            <w:r w:rsidRPr="001D6947">
              <w:t>3,0</w:t>
            </w:r>
          </w:p>
        </w:tc>
        <w:tc>
          <w:tcPr>
            <w:tcW w:w="951" w:type="dxa"/>
            <w:tcBorders>
              <w:top w:val="nil"/>
              <w:left w:val="nil"/>
              <w:bottom w:val="nil"/>
              <w:right w:val="nil"/>
            </w:tcBorders>
            <w:shd w:val="clear" w:color="auto" w:fill="auto"/>
            <w:vAlign w:val="center"/>
            <w:hideMark/>
          </w:tcPr>
          <w:p w14:paraId="0A170AA5" w14:textId="0DCAEF3E" w:rsidR="009D1CF9" w:rsidRPr="001D6947" w:rsidRDefault="009D1CF9" w:rsidP="002B6B57">
            <w:pPr>
              <w:pStyle w:val="Tabelid"/>
              <w:jc w:val="right"/>
            </w:pPr>
            <w:r w:rsidRPr="001D6947">
              <w:t>3,0</w:t>
            </w:r>
          </w:p>
        </w:tc>
        <w:tc>
          <w:tcPr>
            <w:tcW w:w="939" w:type="dxa"/>
            <w:tcBorders>
              <w:top w:val="nil"/>
              <w:left w:val="nil"/>
              <w:bottom w:val="nil"/>
              <w:right w:val="nil"/>
            </w:tcBorders>
            <w:shd w:val="clear" w:color="auto" w:fill="auto"/>
            <w:vAlign w:val="center"/>
            <w:hideMark/>
          </w:tcPr>
          <w:p w14:paraId="310011F7" w14:textId="2E83B34B" w:rsidR="009D1CF9" w:rsidRPr="001D6947" w:rsidRDefault="009D1CF9" w:rsidP="002B6B57">
            <w:pPr>
              <w:pStyle w:val="Tabelid"/>
              <w:jc w:val="right"/>
            </w:pPr>
            <w:r w:rsidRPr="001D6947">
              <w:t>3,1</w:t>
            </w:r>
          </w:p>
        </w:tc>
      </w:tr>
    </w:tbl>
    <w:p w14:paraId="7D380DE4" w14:textId="71942BFE" w:rsidR="006963AA" w:rsidRPr="00364988" w:rsidRDefault="006963AA" w:rsidP="00364988">
      <w:pPr>
        <w:pStyle w:val="Mrkus"/>
        <w:rPr>
          <w:rStyle w:val="MrkusChar"/>
          <w:i/>
        </w:rPr>
      </w:pPr>
      <w:r w:rsidRPr="00364988">
        <w:rPr>
          <w:rStyle w:val="MrkusChar"/>
          <w:i/>
        </w:rPr>
        <w:t>*Valitsussektori tasandil konsolideeritud</w:t>
      </w:r>
    </w:p>
    <w:p w14:paraId="2B57530D" w14:textId="77777777" w:rsidR="00201039" w:rsidRPr="00414819" w:rsidRDefault="00201039" w:rsidP="00201039">
      <w:pPr>
        <w:spacing w:after="0"/>
        <w:rPr>
          <w:highlight w:val="yellow"/>
        </w:rPr>
      </w:pPr>
    </w:p>
    <w:p w14:paraId="3673EF31" w14:textId="3EF2B8D8" w:rsidR="00201039" w:rsidRPr="00414819" w:rsidRDefault="00201039" w:rsidP="00831AD9">
      <w:pPr>
        <w:rPr>
          <w:highlight w:val="yellow"/>
        </w:rPr>
      </w:pPr>
    </w:p>
    <w:p w14:paraId="00AA1CC0" w14:textId="77777777" w:rsidR="000C04EE" w:rsidRPr="00414819" w:rsidRDefault="000C04EE" w:rsidP="00831AD9">
      <w:pPr>
        <w:rPr>
          <w:highlight w:val="yellow"/>
        </w:rPr>
      </w:pPr>
    </w:p>
    <w:p w14:paraId="785CB808" w14:textId="40AF311C" w:rsidR="009D7526" w:rsidRPr="001D6947" w:rsidRDefault="00201039" w:rsidP="0059418C">
      <w:pPr>
        <w:pStyle w:val="Caption"/>
      </w:pPr>
      <w:bookmarkStart w:id="288" w:name="_Toc143775562"/>
      <w:r w:rsidRPr="001D6947">
        <w:t xml:space="preserve">Tabel </w:t>
      </w:r>
      <w:r w:rsidR="004C0EAE">
        <w:fldChar w:fldCharType="begin"/>
      </w:r>
      <w:r w:rsidR="004C0EAE">
        <w:instrText xml:space="preserve"> SEQ Tabel \* ARABIC </w:instrText>
      </w:r>
      <w:r w:rsidR="004C0EAE">
        <w:fldChar w:fldCharType="separate"/>
      </w:r>
      <w:r w:rsidR="008478E8">
        <w:rPr>
          <w:noProof/>
        </w:rPr>
        <w:t>21</w:t>
      </w:r>
      <w:r w:rsidR="004C0EAE">
        <w:rPr>
          <w:noProof/>
        </w:rPr>
        <w:fldChar w:fldCharType="end"/>
      </w:r>
      <w:r w:rsidRPr="001D6947">
        <w:t>. Valitsussektori likviidsed finantsvarad 2019-2026 (mln eurot, % SKPst)</w:t>
      </w:r>
      <w:bookmarkEnd w:id="288"/>
      <w:r w:rsidR="0022558F" w:rsidRPr="001D6947">
        <w:t xml:space="preserve"> </w:t>
      </w:r>
    </w:p>
    <w:tbl>
      <w:tblPr>
        <w:tblW w:w="10303" w:type="dxa"/>
        <w:tblCellMar>
          <w:left w:w="70" w:type="dxa"/>
          <w:right w:w="70" w:type="dxa"/>
        </w:tblCellMar>
        <w:tblLook w:val="04A0" w:firstRow="1" w:lastRow="0" w:firstColumn="1" w:lastColumn="0" w:noHBand="0" w:noVBand="1"/>
      </w:tblPr>
      <w:tblGrid>
        <w:gridCol w:w="2082"/>
        <w:gridCol w:w="909"/>
        <w:gridCol w:w="791"/>
        <w:gridCol w:w="924"/>
        <w:gridCol w:w="923"/>
        <w:gridCol w:w="923"/>
        <w:gridCol w:w="923"/>
        <w:gridCol w:w="924"/>
        <w:gridCol w:w="947"/>
        <w:gridCol w:w="957"/>
      </w:tblGrid>
      <w:tr w:rsidR="00CA1278" w:rsidRPr="001D6947" w14:paraId="46DEB991" w14:textId="77777777" w:rsidTr="005144A8">
        <w:trPr>
          <w:trHeight w:val="683"/>
        </w:trPr>
        <w:tc>
          <w:tcPr>
            <w:tcW w:w="2082" w:type="dxa"/>
            <w:tcBorders>
              <w:top w:val="single" w:sz="4" w:space="0" w:color="auto"/>
              <w:left w:val="nil"/>
              <w:bottom w:val="single" w:sz="8" w:space="0" w:color="auto"/>
              <w:right w:val="single" w:sz="8" w:space="0" w:color="auto"/>
            </w:tcBorders>
            <w:shd w:val="clear" w:color="auto" w:fill="auto"/>
            <w:vAlign w:val="center"/>
            <w:hideMark/>
          </w:tcPr>
          <w:p w14:paraId="7B100121" w14:textId="77777777" w:rsidR="00C12264" w:rsidRPr="001D6947" w:rsidRDefault="00C12264" w:rsidP="00C12264">
            <w:pPr>
              <w:spacing w:after="0" w:line="240" w:lineRule="auto"/>
              <w:rPr>
                <w:rFonts w:ascii="Roboto Condensed" w:eastAsia="Times New Roman" w:hAnsi="Roboto Condensed" w:cs="Calibri"/>
                <w:b/>
                <w:bCs/>
                <w:color w:val="000000"/>
                <w:sz w:val="20"/>
                <w:szCs w:val="20"/>
                <w:lang w:eastAsia="et-EE"/>
              </w:rPr>
            </w:pPr>
            <w:r w:rsidRPr="001D6947">
              <w:rPr>
                <w:rFonts w:ascii="Roboto Condensed" w:eastAsia="Times New Roman" w:hAnsi="Roboto Condensed" w:cs="Calibri"/>
                <w:b/>
                <w:bCs/>
                <w:color w:val="000000"/>
                <w:sz w:val="20"/>
                <w:szCs w:val="20"/>
                <w:lang w:eastAsia="et-EE"/>
              </w:rPr>
              <w:t> </w:t>
            </w:r>
          </w:p>
        </w:tc>
        <w:tc>
          <w:tcPr>
            <w:tcW w:w="909" w:type="dxa"/>
            <w:tcBorders>
              <w:top w:val="single" w:sz="4" w:space="0" w:color="auto"/>
              <w:left w:val="single" w:sz="8" w:space="0" w:color="auto"/>
              <w:bottom w:val="single" w:sz="8" w:space="0" w:color="auto"/>
              <w:right w:val="nil"/>
            </w:tcBorders>
            <w:shd w:val="clear" w:color="auto" w:fill="auto"/>
            <w:vAlign w:val="center"/>
            <w:hideMark/>
          </w:tcPr>
          <w:p w14:paraId="3008576F" w14:textId="77777777" w:rsidR="00C12264" w:rsidRPr="002B6B57" w:rsidRDefault="00C12264" w:rsidP="002B6B57">
            <w:pPr>
              <w:pStyle w:val="Tabelid"/>
              <w:jc w:val="center"/>
              <w:rPr>
                <w:b/>
                <w:bCs/>
              </w:rPr>
            </w:pPr>
            <w:r w:rsidRPr="002B6B57">
              <w:rPr>
                <w:b/>
                <w:bCs/>
              </w:rPr>
              <w:t>2011-2019 keskmine</w:t>
            </w:r>
          </w:p>
        </w:tc>
        <w:tc>
          <w:tcPr>
            <w:tcW w:w="791" w:type="dxa"/>
            <w:tcBorders>
              <w:top w:val="single" w:sz="4" w:space="0" w:color="auto"/>
              <w:left w:val="nil"/>
              <w:bottom w:val="single" w:sz="8" w:space="0" w:color="auto"/>
              <w:right w:val="nil"/>
            </w:tcBorders>
            <w:shd w:val="clear" w:color="auto" w:fill="auto"/>
            <w:noWrap/>
            <w:vAlign w:val="center"/>
            <w:hideMark/>
          </w:tcPr>
          <w:p w14:paraId="4B0F0E52" w14:textId="77777777" w:rsidR="00C12264" w:rsidRPr="002B6B57" w:rsidRDefault="00C12264" w:rsidP="002B6B57">
            <w:pPr>
              <w:pStyle w:val="Tabelid"/>
              <w:jc w:val="center"/>
              <w:rPr>
                <w:b/>
                <w:bCs/>
              </w:rPr>
            </w:pPr>
            <w:r w:rsidRPr="002B6B57">
              <w:rPr>
                <w:b/>
                <w:bCs/>
              </w:rPr>
              <w:t>2020</w:t>
            </w:r>
          </w:p>
        </w:tc>
        <w:tc>
          <w:tcPr>
            <w:tcW w:w="924" w:type="dxa"/>
            <w:tcBorders>
              <w:top w:val="single" w:sz="4" w:space="0" w:color="auto"/>
              <w:left w:val="nil"/>
              <w:bottom w:val="single" w:sz="8" w:space="0" w:color="auto"/>
              <w:right w:val="nil"/>
            </w:tcBorders>
            <w:shd w:val="clear" w:color="auto" w:fill="auto"/>
            <w:noWrap/>
            <w:vAlign w:val="center"/>
            <w:hideMark/>
          </w:tcPr>
          <w:p w14:paraId="1BA54731" w14:textId="77777777" w:rsidR="00C12264" w:rsidRPr="002B6B57" w:rsidRDefault="00C12264" w:rsidP="002B6B57">
            <w:pPr>
              <w:pStyle w:val="Tabelid"/>
              <w:jc w:val="center"/>
              <w:rPr>
                <w:b/>
                <w:bCs/>
              </w:rPr>
            </w:pPr>
            <w:r w:rsidRPr="002B6B57">
              <w:rPr>
                <w:b/>
                <w:bCs/>
              </w:rPr>
              <w:t>2021</w:t>
            </w:r>
          </w:p>
        </w:tc>
        <w:tc>
          <w:tcPr>
            <w:tcW w:w="923" w:type="dxa"/>
            <w:tcBorders>
              <w:top w:val="single" w:sz="4" w:space="0" w:color="auto"/>
              <w:left w:val="nil"/>
              <w:bottom w:val="single" w:sz="8" w:space="0" w:color="auto"/>
              <w:right w:val="nil"/>
            </w:tcBorders>
            <w:shd w:val="clear" w:color="auto" w:fill="auto"/>
            <w:noWrap/>
            <w:vAlign w:val="center"/>
            <w:hideMark/>
          </w:tcPr>
          <w:p w14:paraId="2EA8EFC1" w14:textId="77777777" w:rsidR="00C12264" w:rsidRPr="002B6B57" w:rsidRDefault="00C12264" w:rsidP="002B6B57">
            <w:pPr>
              <w:pStyle w:val="Tabelid"/>
              <w:jc w:val="center"/>
              <w:rPr>
                <w:b/>
                <w:bCs/>
              </w:rPr>
            </w:pPr>
            <w:r w:rsidRPr="002B6B57">
              <w:rPr>
                <w:b/>
                <w:bCs/>
              </w:rPr>
              <w:t>2022</w:t>
            </w:r>
          </w:p>
        </w:tc>
        <w:tc>
          <w:tcPr>
            <w:tcW w:w="923" w:type="dxa"/>
            <w:tcBorders>
              <w:top w:val="single" w:sz="4" w:space="0" w:color="auto"/>
              <w:left w:val="nil"/>
              <w:bottom w:val="single" w:sz="8" w:space="0" w:color="auto"/>
              <w:right w:val="nil"/>
            </w:tcBorders>
            <w:shd w:val="clear" w:color="auto" w:fill="auto"/>
            <w:noWrap/>
            <w:vAlign w:val="center"/>
            <w:hideMark/>
          </w:tcPr>
          <w:p w14:paraId="2202877F" w14:textId="77777777" w:rsidR="00C12264" w:rsidRPr="002B6B57" w:rsidRDefault="00C12264" w:rsidP="002B6B57">
            <w:pPr>
              <w:pStyle w:val="Tabelid"/>
              <w:jc w:val="center"/>
              <w:rPr>
                <w:b/>
                <w:bCs/>
              </w:rPr>
            </w:pPr>
            <w:r w:rsidRPr="002B6B57">
              <w:rPr>
                <w:b/>
                <w:bCs/>
              </w:rPr>
              <w:t>2023</w:t>
            </w:r>
          </w:p>
        </w:tc>
        <w:tc>
          <w:tcPr>
            <w:tcW w:w="923" w:type="dxa"/>
            <w:tcBorders>
              <w:top w:val="single" w:sz="4" w:space="0" w:color="auto"/>
              <w:left w:val="nil"/>
              <w:bottom w:val="single" w:sz="8" w:space="0" w:color="auto"/>
              <w:right w:val="nil"/>
            </w:tcBorders>
            <w:shd w:val="clear" w:color="auto" w:fill="auto"/>
            <w:noWrap/>
            <w:vAlign w:val="center"/>
            <w:hideMark/>
          </w:tcPr>
          <w:p w14:paraId="5614D872" w14:textId="77777777" w:rsidR="00C12264" w:rsidRPr="002B6B57" w:rsidRDefault="00C12264" w:rsidP="002B6B57">
            <w:pPr>
              <w:pStyle w:val="Tabelid"/>
              <w:jc w:val="center"/>
              <w:rPr>
                <w:b/>
                <w:bCs/>
              </w:rPr>
            </w:pPr>
            <w:r w:rsidRPr="002B6B57">
              <w:rPr>
                <w:b/>
                <w:bCs/>
              </w:rPr>
              <w:t>2024</w:t>
            </w:r>
          </w:p>
        </w:tc>
        <w:tc>
          <w:tcPr>
            <w:tcW w:w="924" w:type="dxa"/>
            <w:tcBorders>
              <w:top w:val="single" w:sz="4" w:space="0" w:color="auto"/>
              <w:left w:val="nil"/>
              <w:bottom w:val="single" w:sz="8" w:space="0" w:color="auto"/>
              <w:right w:val="nil"/>
            </w:tcBorders>
            <w:shd w:val="clear" w:color="auto" w:fill="auto"/>
            <w:noWrap/>
            <w:vAlign w:val="center"/>
            <w:hideMark/>
          </w:tcPr>
          <w:p w14:paraId="78C067ED" w14:textId="77777777" w:rsidR="00C12264" w:rsidRPr="002B6B57" w:rsidRDefault="00C12264" w:rsidP="002B6B57">
            <w:pPr>
              <w:pStyle w:val="Tabelid"/>
              <w:jc w:val="center"/>
              <w:rPr>
                <w:b/>
                <w:bCs/>
              </w:rPr>
            </w:pPr>
            <w:r w:rsidRPr="002B6B57">
              <w:rPr>
                <w:b/>
                <w:bCs/>
              </w:rPr>
              <w:t>2025</w:t>
            </w:r>
          </w:p>
        </w:tc>
        <w:tc>
          <w:tcPr>
            <w:tcW w:w="947" w:type="dxa"/>
            <w:tcBorders>
              <w:top w:val="single" w:sz="4" w:space="0" w:color="auto"/>
              <w:left w:val="nil"/>
              <w:bottom w:val="single" w:sz="8" w:space="0" w:color="auto"/>
              <w:right w:val="nil"/>
            </w:tcBorders>
            <w:shd w:val="clear" w:color="auto" w:fill="auto"/>
            <w:noWrap/>
            <w:vAlign w:val="center"/>
            <w:hideMark/>
          </w:tcPr>
          <w:p w14:paraId="085FD920" w14:textId="77777777" w:rsidR="00C12264" w:rsidRPr="002B6B57" w:rsidRDefault="00C12264" w:rsidP="002B6B57">
            <w:pPr>
              <w:pStyle w:val="Tabelid"/>
              <w:jc w:val="center"/>
              <w:rPr>
                <w:b/>
                <w:bCs/>
              </w:rPr>
            </w:pPr>
            <w:r w:rsidRPr="002B6B57">
              <w:rPr>
                <w:b/>
                <w:bCs/>
              </w:rPr>
              <w:t>2026</w:t>
            </w:r>
          </w:p>
        </w:tc>
        <w:tc>
          <w:tcPr>
            <w:tcW w:w="957" w:type="dxa"/>
            <w:tcBorders>
              <w:top w:val="single" w:sz="4" w:space="0" w:color="auto"/>
              <w:left w:val="nil"/>
              <w:bottom w:val="single" w:sz="8" w:space="0" w:color="auto"/>
              <w:right w:val="single" w:sz="4" w:space="0" w:color="FFFFFF"/>
            </w:tcBorders>
            <w:shd w:val="clear" w:color="auto" w:fill="auto"/>
            <w:noWrap/>
            <w:vAlign w:val="center"/>
            <w:hideMark/>
          </w:tcPr>
          <w:p w14:paraId="60195500" w14:textId="77777777" w:rsidR="00C12264" w:rsidRPr="002B6B57" w:rsidRDefault="00C12264" w:rsidP="002B6B57">
            <w:pPr>
              <w:pStyle w:val="Tabelid"/>
              <w:jc w:val="center"/>
              <w:rPr>
                <w:b/>
                <w:bCs/>
              </w:rPr>
            </w:pPr>
            <w:r w:rsidRPr="002B6B57">
              <w:rPr>
                <w:b/>
                <w:bCs/>
              </w:rPr>
              <w:t>2027</w:t>
            </w:r>
          </w:p>
        </w:tc>
      </w:tr>
      <w:tr w:rsidR="00F86851" w:rsidRPr="001D6947" w14:paraId="10C19F6B" w14:textId="77777777" w:rsidTr="00904F3D">
        <w:trPr>
          <w:trHeight w:val="388"/>
        </w:trPr>
        <w:tc>
          <w:tcPr>
            <w:tcW w:w="2082" w:type="dxa"/>
            <w:tcBorders>
              <w:top w:val="nil"/>
              <w:left w:val="nil"/>
              <w:bottom w:val="single" w:sz="4" w:space="0" w:color="FFFFFF"/>
              <w:right w:val="single" w:sz="8" w:space="0" w:color="auto"/>
            </w:tcBorders>
            <w:shd w:val="clear" w:color="000000" w:fill="D9D9D9"/>
            <w:vAlign w:val="center"/>
            <w:hideMark/>
          </w:tcPr>
          <w:p w14:paraId="6981BDF9" w14:textId="77777777" w:rsidR="00F86851" w:rsidRPr="002B6B57" w:rsidRDefault="00F86851" w:rsidP="002B6B57">
            <w:pPr>
              <w:pStyle w:val="Tabelid"/>
              <w:rPr>
                <w:b/>
                <w:bCs/>
              </w:rPr>
            </w:pPr>
            <w:r w:rsidRPr="002B6B57">
              <w:rPr>
                <w:b/>
                <w:bCs/>
              </w:rPr>
              <w:t>Finantsvarad kokku (mln eurot)</w:t>
            </w:r>
          </w:p>
        </w:tc>
        <w:tc>
          <w:tcPr>
            <w:tcW w:w="909" w:type="dxa"/>
            <w:tcBorders>
              <w:top w:val="nil"/>
              <w:left w:val="single" w:sz="4" w:space="0" w:color="FFFFFF"/>
              <w:bottom w:val="single" w:sz="4" w:space="0" w:color="FFFFFF"/>
              <w:right w:val="single" w:sz="4" w:space="0" w:color="FFFFFF"/>
            </w:tcBorders>
            <w:shd w:val="clear" w:color="000000" w:fill="D9D9D9"/>
            <w:vAlign w:val="center"/>
            <w:hideMark/>
          </w:tcPr>
          <w:p w14:paraId="3161F28B" w14:textId="77777777" w:rsidR="00F86851" w:rsidRPr="002B6B57" w:rsidRDefault="00F86851" w:rsidP="002B6B57">
            <w:pPr>
              <w:pStyle w:val="Tabelid"/>
              <w:jc w:val="right"/>
              <w:rPr>
                <w:b/>
                <w:bCs/>
              </w:rPr>
            </w:pPr>
            <w:r w:rsidRPr="002B6B57">
              <w:rPr>
                <w:b/>
                <w:bCs/>
              </w:rPr>
              <w:t>1 859</w:t>
            </w:r>
          </w:p>
        </w:tc>
        <w:tc>
          <w:tcPr>
            <w:tcW w:w="791" w:type="dxa"/>
            <w:tcBorders>
              <w:top w:val="nil"/>
              <w:left w:val="single" w:sz="4" w:space="0" w:color="FFFFFF"/>
              <w:bottom w:val="single" w:sz="4" w:space="0" w:color="FFFFFF"/>
              <w:right w:val="single" w:sz="4" w:space="0" w:color="FFFFFF"/>
            </w:tcBorders>
            <w:shd w:val="clear" w:color="000000" w:fill="D9D9D9"/>
            <w:vAlign w:val="center"/>
            <w:hideMark/>
          </w:tcPr>
          <w:p w14:paraId="15A2865B" w14:textId="0089269B" w:rsidR="00F86851" w:rsidRPr="002B6B57" w:rsidRDefault="00F86851" w:rsidP="002B6B57">
            <w:pPr>
              <w:pStyle w:val="Tabelid"/>
              <w:jc w:val="right"/>
              <w:rPr>
                <w:b/>
                <w:bCs/>
              </w:rPr>
            </w:pPr>
            <w:r w:rsidRPr="002B6B57">
              <w:rPr>
                <w:b/>
                <w:bCs/>
              </w:rPr>
              <w:t>3 302</w:t>
            </w:r>
          </w:p>
        </w:tc>
        <w:tc>
          <w:tcPr>
            <w:tcW w:w="924" w:type="dxa"/>
            <w:tcBorders>
              <w:top w:val="nil"/>
              <w:left w:val="nil"/>
              <w:bottom w:val="single" w:sz="4" w:space="0" w:color="FFFFFF"/>
              <w:right w:val="single" w:sz="4" w:space="0" w:color="FFFFFF"/>
            </w:tcBorders>
            <w:shd w:val="clear" w:color="000000" w:fill="D9D9D9"/>
            <w:vAlign w:val="center"/>
            <w:hideMark/>
          </w:tcPr>
          <w:p w14:paraId="17090BF4" w14:textId="515134A5" w:rsidR="00F86851" w:rsidRPr="002B6B57" w:rsidRDefault="00F86851" w:rsidP="002B6B57">
            <w:pPr>
              <w:pStyle w:val="Tabelid"/>
              <w:jc w:val="right"/>
              <w:rPr>
                <w:b/>
                <w:bCs/>
              </w:rPr>
            </w:pPr>
            <w:r w:rsidRPr="002B6B57">
              <w:rPr>
                <w:b/>
                <w:bCs/>
              </w:rPr>
              <w:t>3 099</w:t>
            </w:r>
          </w:p>
        </w:tc>
        <w:tc>
          <w:tcPr>
            <w:tcW w:w="923" w:type="dxa"/>
            <w:tcBorders>
              <w:top w:val="nil"/>
              <w:left w:val="nil"/>
              <w:bottom w:val="single" w:sz="4" w:space="0" w:color="FFFFFF"/>
              <w:right w:val="single" w:sz="4" w:space="0" w:color="FFFFFF"/>
            </w:tcBorders>
            <w:shd w:val="clear" w:color="000000" w:fill="D9D9D9"/>
            <w:vAlign w:val="center"/>
            <w:hideMark/>
          </w:tcPr>
          <w:p w14:paraId="511C60A3" w14:textId="220169DE" w:rsidR="00F86851" w:rsidRPr="002B6B57" w:rsidRDefault="00F86851" w:rsidP="002B6B57">
            <w:pPr>
              <w:pStyle w:val="Tabelid"/>
              <w:jc w:val="right"/>
              <w:rPr>
                <w:b/>
                <w:bCs/>
              </w:rPr>
            </w:pPr>
            <w:r w:rsidRPr="002B6B57">
              <w:rPr>
                <w:b/>
                <w:bCs/>
              </w:rPr>
              <w:t>4 003</w:t>
            </w:r>
          </w:p>
        </w:tc>
        <w:tc>
          <w:tcPr>
            <w:tcW w:w="923" w:type="dxa"/>
            <w:tcBorders>
              <w:top w:val="nil"/>
              <w:left w:val="nil"/>
              <w:bottom w:val="single" w:sz="4" w:space="0" w:color="FFFFFF"/>
              <w:right w:val="single" w:sz="4" w:space="0" w:color="FFFFFF"/>
            </w:tcBorders>
            <w:shd w:val="clear" w:color="000000" w:fill="D9D9D9"/>
            <w:vAlign w:val="center"/>
            <w:hideMark/>
          </w:tcPr>
          <w:p w14:paraId="48B4349E" w14:textId="62D05F50" w:rsidR="00F86851" w:rsidRPr="002B6B57" w:rsidRDefault="00F86851" w:rsidP="002B6B57">
            <w:pPr>
              <w:pStyle w:val="Tabelid"/>
              <w:jc w:val="right"/>
              <w:rPr>
                <w:b/>
                <w:bCs/>
              </w:rPr>
            </w:pPr>
            <w:r w:rsidRPr="002B6B57">
              <w:rPr>
                <w:b/>
                <w:bCs/>
              </w:rPr>
              <w:t>2 838</w:t>
            </w:r>
          </w:p>
        </w:tc>
        <w:tc>
          <w:tcPr>
            <w:tcW w:w="923" w:type="dxa"/>
            <w:tcBorders>
              <w:top w:val="nil"/>
              <w:left w:val="nil"/>
              <w:bottom w:val="single" w:sz="4" w:space="0" w:color="FFFFFF"/>
              <w:right w:val="single" w:sz="4" w:space="0" w:color="FFFFFF"/>
            </w:tcBorders>
            <w:shd w:val="clear" w:color="000000" w:fill="D9D9D9"/>
            <w:vAlign w:val="center"/>
            <w:hideMark/>
          </w:tcPr>
          <w:p w14:paraId="44535E5A" w14:textId="70CAB82C" w:rsidR="00F86851" w:rsidRPr="002B6B57" w:rsidRDefault="00F86851" w:rsidP="002B6B57">
            <w:pPr>
              <w:pStyle w:val="Tabelid"/>
              <w:jc w:val="right"/>
              <w:rPr>
                <w:b/>
                <w:bCs/>
              </w:rPr>
            </w:pPr>
            <w:r w:rsidRPr="002B6B57">
              <w:rPr>
                <w:b/>
                <w:bCs/>
              </w:rPr>
              <w:t>2 873</w:t>
            </w:r>
          </w:p>
        </w:tc>
        <w:tc>
          <w:tcPr>
            <w:tcW w:w="924" w:type="dxa"/>
            <w:tcBorders>
              <w:top w:val="nil"/>
              <w:left w:val="nil"/>
              <w:bottom w:val="single" w:sz="4" w:space="0" w:color="FFFFFF"/>
              <w:right w:val="single" w:sz="4" w:space="0" w:color="FFFFFF"/>
            </w:tcBorders>
            <w:shd w:val="clear" w:color="000000" w:fill="D9D9D9"/>
            <w:vAlign w:val="center"/>
            <w:hideMark/>
          </w:tcPr>
          <w:p w14:paraId="4D576B13" w14:textId="58ED4864" w:rsidR="00F86851" w:rsidRPr="002B6B57" w:rsidRDefault="00F86851" w:rsidP="002B6B57">
            <w:pPr>
              <w:pStyle w:val="Tabelid"/>
              <w:jc w:val="right"/>
              <w:rPr>
                <w:b/>
                <w:bCs/>
              </w:rPr>
            </w:pPr>
            <w:r w:rsidRPr="002B6B57">
              <w:rPr>
                <w:b/>
                <w:bCs/>
              </w:rPr>
              <w:t>2 953</w:t>
            </w:r>
          </w:p>
        </w:tc>
        <w:tc>
          <w:tcPr>
            <w:tcW w:w="947" w:type="dxa"/>
            <w:tcBorders>
              <w:top w:val="nil"/>
              <w:left w:val="nil"/>
              <w:bottom w:val="single" w:sz="4" w:space="0" w:color="FFFFFF"/>
              <w:right w:val="single" w:sz="4" w:space="0" w:color="FFFFFF"/>
            </w:tcBorders>
            <w:shd w:val="clear" w:color="000000" w:fill="D9D9D9"/>
            <w:vAlign w:val="center"/>
            <w:hideMark/>
          </w:tcPr>
          <w:p w14:paraId="2DB3A393" w14:textId="52EFF52C" w:rsidR="00F86851" w:rsidRPr="002B6B57" w:rsidRDefault="00F86851" w:rsidP="002B6B57">
            <w:pPr>
              <w:pStyle w:val="Tabelid"/>
              <w:jc w:val="right"/>
              <w:rPr>
                <w:b/>
                <w:bCs/>
              </w:rPr>
            </w:pPr>
            <w:r w:rsidRPr="002B6B57">
              <w:rPr>
                <w:b/>
                <w:bCs/>
              </w:rPr>
              <w:t>3 005</w:t>
            </w:r>
          </w:p>
        </w:tc>
        <w:tc>
          <w:tcPr>
            <w:tcW w:w="957" w:type="dxa"/>
            <w:tcBorders>
              <w:top w:val="nil"/>
              <w:left w:val="nil"/>
              <w:bottom w:val="single" w:sz="4" w:space="0" w:color="FFFFFF"/>
              <w:right w:val="single" w:sz="4" w:space="0" w:color="FFFFFF"/>
            </w:tcBorders>
            <w:shd w:val="clear" w:color="000000" w:fill="D9D9D9"/>
            <w:vAlign w:val="center"/>
            <w:hideMark/>
          </w:tcPr>
          <w:p w14:paraId="5F9718EA" w14:textId="694D0C27" w:rsidR="00F86851" w:rsidRPr="002B6B57" w:rsidRDefault="00F86851" w:rsidP="002B6B57">
            <w:pPr>
              <w:pStyle w:val="Tabelid"/>
              <w:jc w:val="right"/>
              <w:rPr>
                <w:b/>
                <w:bCs/>
              </w:rPr>
            </w:pPr>
            <w:r w:rsidRPr="002B6B57">
              <w:rPr>
                <w:b/>
                <w:bCs/>
              </w:rPr>
              <w:t>3 090</w:t>
            </w:r>
          </w:p>
        </w:tc>
      </w:tr>
      <w:tr w:rsidR="00F86851" w:rsidRPr="001D6947" w14:paraId="564F80AD" w14:textId="77777777" w:rsidTr="00904F3D">
        <w:trPr>
          <w:trHeight w:val="388"/>
        </w:trPr>
        <w:tc>
          <w:tcPr>
            <w:tcW w:w="2082" w:type="dxa"/>
            <w:tcBorders>
              <w:top w:val="nil"/>
              <w:left w:val="nil"/>
              <w:bottom w:val="single" w:sz="4" w:space="0" w:color="FFFFFF"/>
              <w:right w:val="single" w:sz="8" w:space="0" w:color="auto"/>
            </w:tcBorders>
            <w:shd w:val="clear" w:color="auto" w:fill="auto"/>
            <w:vAlign w:val="center"/>
            <w:hideMark/>
          </w:tcPr>
          <w:p w14:paraId="1D181492" w14:textId="77777777" w:rsidR="00F86851" w:rsidRPr="001D6947" w:rsidRDefault="00F86851" w:rsidP="002B6B57">
            <w:pPr>
              <w:pStyle w:val="Tabelid"/>
            </w:pPr>
            <w:r w:rsidRPr="001D6947">
              <w:t>sh keskvalitsus</w:t>
            </w:r>
          </w:p>
        </w:tc>
        <w:tc>
          <w:tcPr>
            <w:tcW w:w="909" w:type="dxa"/>
            <w:tcBorders>
              <w:top w:val="nil"/>
              <w:left w:val="single" w:sz="4" w:space="0" w:color="FFFFFF"/>
              <w:bottom w:val="single" w:sz="4" w:space="0" w:color="FFFFFF"/>
              <w:right w:val="single" w:sz="4" w:space="0" w:color="FFFFFF"/>
            </w:tcBorders>
            <w:shd w:val="clear" w:color="auto" w:fill="auto"/>
            <w:vAlign w:val="center"/>
            <w:hideMark/>
          </w:tcPr>
          <w:p w14:paraId="3FD9F6A3" w14:textId="77777777" w:rsidR="00F86851" w:rsidRPr="001D6947" w:rsidRDefault="00F86851" w:rsidP="002B6B57">
            <w:pPr>
              <w:pStyle w:val="Tabelid"/>
              <w:jc w:val="right"/>
            </w:pPr>
            <w:r w:rsidRPr="001D6947">
              <w:t>838</w:t>
            </w:r>
          </w:p>
        </w:tc>
        <w:tc>
          <w:tcPr>
            <w:tcW w:w="791" w:type="dxa"/>
            <w:tcBorders>
              <w:top w:val="nil"/>
              <w:left w:val="single" w:sz="4" w:space="0" w:color="FFFFFF"/>
              <w:bottom w:val="single" w:sz="4" w:space="0" w:color="FFFFFF"/>
              <w:right w:val="single" w:sz="4" w:space="0" w:color="FFFFFF"/>
            </w:tcBorders>
            <w:shd w:val="clear" w:color="auto" w:fill="auto"/>
            <w:vAlign w:val="center"/>
            <w:hideMark/>
          </w:tcPr>
          <w:p w14:paraId="27D79DA3" w14:textId="3E4A2A1C" w:rsidR="00F86851" w:rsidRPr="001D6947" w:rsidRDefault="00F86851" w:rsidP="002B6B57">
            <w:pPr>
              <w:pStyle w:val="Tabelid"/>
              <w:jc w:val="right"/>
            </w:pPr>
            <w:r w:rsidRPr="001D6947">
              <w:t>1 996</w:t>
            </w:r>
          </w:p>
        </w:tc>
        <w:tc>
          <w:tcPr>
            <w:tcW w:w="924" w:type="dxa"/>
            <w:tcBorders>
              <w:top w:val="nil"/>
              <w:left w:val="nil"/>
              <w:bottom w:val="single" w:sz="4" w:space="0" w:color="FFFFFF"/>
              <w:right w:val="single" w:sz="4" w:space="0" w:color="FFFFFF"/>
            </w:tcBorders>
            <w:shd w:val="clear" w:color="auto" w:fill="auto"/>
            <w:vAlign w:val="center"/>
            <w:hideMark/>
          </w:tcPr>
          <w:p w14:paraId="15C74890" w14:textId="767783F1" w:rsidR="00F86851" w:rsidRPr="001D6947" w:rsidRDefault="00F86851" w:rsidP="002B6B57">
            <w:pPr>
              <w:pStyle w:val="Tabelid"/>
              <w:jc w:val="right"/>
            </w:pPr>
            <w:r w:rsidRPr="001D6947">
              <w:t>1 806</w:t>
            </w:r>
          </w:p>
        </w:tc>
        <w:tc>
          <w:tcPr>
            <w:tcW w:w="923" w:type="dxa"/>
            <w:tcBorders>
              <w:top w:val="nil"/>
              <w:left w:val="nil"/>
              <w:bottom w:val="single" w:sz="4" w:space="0" w:color="FFFFFF"/>
              <w:right w:val="single" w:sz="4" w:space="0" w:color="FFFFFF"/>
            </w:tcBorders>
            <w:shd w:val="clear" w:color="auto" w:fill="auto"/>
            <w:vAlign w:val="center"/>
            <w:hideMark/>
          </w:tcPr>
          <w:p w14:paraId="193787B1" w14:textId="40A5DB6A" w:rsidR="00F86851" w:rsidRPr="001D6947" w:rsidRDefault="00F86851" w:rsidP="002B6B57">
            <w:pPr>
              <w:pStyle w:val="Tabelid"/>
              <w:jc w:val="right"/>
            </w:pPr>
            <w:r w:rsidRPr="001D6947">
              <w:t>2 515</w:t>
            </w:r>
          </w:p>
        </w:tc>
        <w:tc>
          <w:tcPr>
            <w:tcW w:w="923" w:type="dxa"/>
            <w:tcBorders>
              <w:top w:val="nil"/>
              <w:left w:val="nil"/>
              <w:bottom w:val="single" w:sz="4" w:space="0" w:color="FFFFFF"/>
              <w:right w:val="single" w:sz="4" w:space="0" w:color="FFFFFF"/>
            </w:tcBorders>
            <w:shd w:val="clear" w:color="auto" w:fill="auto"/>
            <w:vAlign w:val="center"/>
            <w:hideMark/>
          </w:tcPr>
          <w:p w14:paraId="025D60CE" w14:textId="4F8EA735" w:rsidR="00F86851" w:rsidRPr="001D6947" w:rsidRDefault="00F86851" w:rsidP="002B6B57">
            <w:pPr>
              <w:pStyle w:val="Tabelid"/>
              <w:jc w:val="right"/>
            </w:pPr>
            <w:r w:rsidRPr="001D6947">
              <w:t>1 278</w:t>
            </w:r>
          </w:p>
        </w:tc>
        <w:tc>
          <w:tcPr>
            <w:tcW w:w="923" w:type="dxa"/>
            <w:tcBorders>
              <w:top w:val="nil"/>
              <w:left w:val="nil"/>
              <w:bottom w:val="single" w:sz="4" w:space="0" w:color="FFFFFF"/>
              <w:right w:val="single" w:sz="4" w:space="0" w:color="FFFFFF"/>
            </w:tcBorders>
            <w:shd w:val="clear" w:color="auto" w:fill="auto"/>
            <w:vAlign w:val="center"/>
            <w:hideMark/>
          </w:tcPr>
          <w:p w14:paraId="53576799" w14:textId="678839D9" w:rsidR="00F86851" w:rsidRPr="001D6947" w:rsidRDefault="00F86851" w:rsidP="002B6B57">
            <w:pPr>
              <w:pStyle w:val="Tabelid"/>
              <w:jc w:val="right"/>
            </w:pPr>
            <w:r w:rsidRPr="001D6947">
              <w:t>1 325</w:t>
            </w:r>
          </w:p>
        </w:tc>
        <w:tc>
          <w:tcPr>
            <w:tcW w:w="924" w:type="dxa"/>
            <w:tcBorders>
              <w:top w:val="nil"/>
              <w:left w:val="nil"/>
              <w:bottom w:val="single" w:sz="4" w:space="0" w:color="FFFFFF"/>
              <w:right w:val="single" w:sz="4" w:space="0" w:color="FFFFFF"/>
            </w:tcBorders>
            <w:shd w:val="clear" w:color="auto" w:fill="auto"/>
            <w:vAlign w:val="center"/>
            <w:hideMark/>
          </w:tcPr>
          <w:p w14:paraId="5B2E2B3B" w14:textId="1C70FEB3" w:rsidR="00F86851" w:rsidRPr="001D6947" w:rsidRDefault="00F86851" w:rsidP="002B6B57">
            <w:pPr>
              <w:pStyle w:val="Tabelid"/>
              <w:jc w:val="right"/>
            </w:pPr>
            <w:r w:rsidRPr="001D6947">
              <w:t>1 538</w:t>
            </w:r>
          </w:p>
        </w:tc>
        <w:tc>
          <w:tcPr>
            <w:tcW w:w="947" w:type="dxa"/>
            <w:tcBorders>
              <w:top w:val="nil"/>
              <w:left w:val="nil"/>
              <w:bottom w:val="single" w:sz="4" w:space="0" w:color="FFFFFF"/>
              <w:right w:val="single" w:sz="4" w:space="0" w:color="FFFFFF"/>
            </w:tcBorders>
            <w:shd w:val="clear" w:color="auto" w:fill="auto"/>
            <w:vAlign w:val="center"/>
            <w:hideMark/>
          </w:tcPr>
          <w:p w14:paraId="153D4E54" w14:textId="18C580BA" w:rsidR="00F86851" w:rsidRPr="001D6947" w:rsidRDefault="00F86851" w:rsidP="002B6B57">
            <w:pPr>
              <w:pStyle w:val="Tabelid"/>
              <w:jc w:val="right"/>
            </w:pPr>
            <w:r w:rsidRPr="001D6947">
              <w:t>1 749</w:t>
            </w:r>
          </w:p>
        </w:tc>
        <w:tc>
          <w:tcPr>
            <w:tcW w:w="957" w:type="dxa"/>
            <w:tcBorders>
              <w:top w:val="nil"/>
              <w:left w:val="nil"/>
              <w:bottom w:val="single" w:sz="4" w:space="0" w:color="FFFFFF"/>
              <w:right w:val="single" w:sz="4" w:space="0" w:color="FFFFFF"/>
            </w:tcBorders>
            <w:shd w:val="clear" w:color="auto" w:fill="auto"/>
            <w:vAlign w:val="center"/>
            <w:hideMark/>
          </w:tcPr>
          <w:p w14:paraId="6BF2A276" w14:textId="43F864F5" w:rsidR="00F86851" w:rsidRPr="001D6947" w:rsidRDefault="00F86851" w:rsidP="002B6B57">
            <w:pPr>
              <w:pStyle w:val="Tabelid"/>
              <w:jc w:val="right"/>
            </w:pPr>
            <w:r w:rsidRPr="001D6947">
              <w:t>2 044</w:t>
            </w:r>
          </w:p>
        </w:tc>
      </w:tr>
      <w:tr w:rsidR="00F86851" w:rsidRPr="001D6947" w14:paraId="5239E883" w14:textId="77777777" w:rsidTr="00904F3D">
        <w:trPr>
          <w:trHeight w:val="388"/>
        </w:trPr>
        <w:tc>
          <w:tcPr>
            <w:tcW w:w="2082" w:type="dxa"/>
            <w:tcBorders>
              <w:top w:val="nil"/>
              <w:left w:val="nil"/>
              <w:bottom w:val="single" w:sz="4" w:space="0" w:color="FFFFFF"/>
              <w:right w:val="single" w:sz="8" w:space="0" w:color="auto"/>
            </w:tcBorders>
            <w:shd w:val="clear" w:color="000000" w:fill="D9D9D9"/>
            <w:vAlign w:val="center"/>
            <w:hideMark/>
          </w:tcPr>
          <w:p w14:paraId="430857C5" w14:textId="77777777" w:rsidR="00F86851" w:rsidRPr="001D6947" w:rsidRDefault="00F86851" w:rsidP="002B6B57">
            <w:pPr>
              <w:pStyle w:val="Tabelid"/>
            </w:pPr>
            <w:r w:rsidRPr="001D6947">
              <w:t xml:space="preserve">    kohalikud omavalitsused</w:t>
            </w:r>
          </w:p>
        </w:tc>
        <w:tc>
          <w:tcPr>
            <w:tcW w:w="909" w:type="dxa"/>
            <w:tcBorders>
              <w:top w:val="nil"/>
              <w:left w:val="single" w:sz="4" w:space="0" w:color="FFFFFF"/>
              <w:bottom w:val="single" w:sz="4" w:space="0" w:color="FFFFFF"/>
              <w:right w:val="single" w:sz="4" w:space="0" w:color="FFFFFF"/>
            </w:tcBorders>
            <w:shd w:val="clear" w:color="000000" w:fill="D9D9D9"/>
            <w:vAlign w:val="center"/>
            <w:hideMark/>
          </w:tcPr>
          <w:p w14:paraId="321C0220" w14:textId="77777777" w:rsidR="00F86851" w:rsidRPr="001D6947" w:rsidRDefault="00F86851" w:rsidP="002B6B57">
            <w:pPr>
              <w:pStyle w:val="Tabelid"/>
              <w:jc w:val="right"/>
            </w:pPr>
            <w:r w:rsidRPr="001D6947">
              <w:t>206</w:t>
            </w:r>
          </w:p>
        </w:tc>
        <w:tc>
          <w:tcPr>
            <w:tcW w:w="791" w:type="dxa"/>
            <w:tcBorders>
              <w:top w:val="nil"/>
              <w:left w:val="single" w:sz="4" w:space="0" w:color="FFFFFF"/>
              <w:bottom w:val="single" w:sz="4" w:space="0" w:color="FFFFFF"/>
              <w:right w:val="single" w:sz="4" w:space="0" w:color="FFFFFF"/>
            </w:tcBorders>
            <w:shd w:val="clear" w:color="000000" w:fill="D9D9D9"/>
            <w:vAlign w:val="center"/>
            <w:hideMark/>
          </w:tcPr>
          <w:p w14:paraId="778A4C21" w14:textId="356E6CDD" w:rsidR="00F86851" w:rsidRPr="001D6947" w:rsidRDefault="00F86851" w:rsidP="002B6B57">
            <w:pPr>
              <w:pStyle w:val="Tabelid"/>
              <w:jc w:val="right"/>
            </w:pPr>
            <w:r w:rsidRPr="001D6947">
              <w:t>504</w:t>
            </w:r>
          </w:p>
        </w:tc>
        <w:tc>
          <w:tcPr>
            <w:tcW w:w="924" w:type="dxa"/>
            <w:tcBorders>
              <w:top w:val="nil"/>
              <w:left w:val="nil"/>
              <w:bottom w:val="single" w:sz="4" w:space="0" w:color="FFFFFF"/>
              <w:right w:val="single" w:sz="4" w:space="0" w:color="FFFFFF"/>
            </w:tcBorders>
            <w:shd w:val="clear" w:color="000000" w:fill="D9D9D9"/>
            <w:vAlign w:val="center"/>
            <w:hideMark/>
          </w:tcPr>
          <w:p w14:paraId="0F978B46" w14:textId="5903D851" w:rsidR="00F86851" w:rsidRPr="001D6947" w:rsidRDefault="00F86851" w:rsidP="002B6B57">
            <w:pPr>
              <w:pStyle w:val="Tabelid"/>
              <w:jc w:val="right"/>
            </w:pPr>
            <w:r w:rsidRPr="001D6947">
              <w:t>385</w:t>
            </w:r>
          </w:p>
        </w:tc>
        <w:tc>
          <w:tcPr>
            <w:tcW w:w="923" w:type="dxa"/>
            <w:tcBorders>
              <w:top w:val="nil"/>
              <w:left w:val="nil"/>
              <w:bottom w:val="single" w:sz="4" w:space="0" w:color="FFFFFF"/>
              <w:right w:val="single" w:sz="4" w:space="0" w:color="FFFFFF"/>
            </w:tcBorders>
            <w:shd w:val="clear" w:color="000000" w:fill="D9D9D9"/>
            <w:vAlign w:val="center"/>
            <w:hideMark/>
          </w:tcPr>
          <w:p w14:paraId="43C6A484" w14:textId="0BD67C23" w:rsidR="00F86851" w:rsidRPr="001D6947" w:rsidRDefault="00F86851" w:rsidP="002B6B57">
            <w:pPr>
              <w:pStyle w:val="Tabelid"/>
              <w:jc w:val="right"/>
            </w:pPr>
            <w:r w:rsidRPr="001D6947">
              <w:t>371</w:t>
            </w:r>
          </w:p>
        </w:tc>
        <w:tc>
          <w:tcPr>
            <w:tcW w:w="923" w:type="dxa"/>
            <w:tcBorders>
              <w:top w:val="nil"/>
              <w:left w:val="nil"/>
              <w:bottom w:val="single" w:sz="4" w:space="0" w:color="FFFFFF"/>
              <w:right w:val="single" w:sz="4" w:space="0" w:color="FFFFFF"/>
            </w:tcBorders>
            <w:shd w:val="clear" w:color="000000" w:fill="D9D9D9"/>
            <w:vAlign w:val="center"/>
            <w:hideMark/>
          </w:tcPr>
          <w:p w14:paraId="36A23C9D" w14:textId="43503149" w:rsidR="00F86851" w:rsidRPr="001D6947" w:rsidRDefault="00F86851" w:rsidP="002B6B57">
            <w:pPr>
              <w:pStyle w:val="Tabelid"/>
              <w:jc w:val="right"/>
            </w:pPr>
            <w:r w:rsidRPr="001D6947">
              <w:t>346</w:t>
            </w:r>
          </w:p>
        </w:tc>
        <w:tc>
          <w:tcPr>
            <w:tcW w:w="923" w:type="dxa"/>
            <w:tcBorders>
              <w:top w:val="nil"/>
              <w:left w:val="nil"/>
              <w:bottom w:val="single" w:sz="4" w:space="0" w:color="FFFFFF"/>
              <w:right w:val="single" w:sz="4" w:space="0" w:color="FFFFFF"/>
            </w:tcBorders>
            <w:shd w:val="clear" w:color="000000" w:fill="D9D9D9"/>
            <w:vAlign w:val="center"/>
            <w:hideMark/>
          </w:tcPr>
          <w:p w14:paraId="08FC12A7" w14:textId="14F317B9" w:rsidR="00F86851" w:rsidRPr="001D6947" w:rsidRDefault="00F86851" w:rsidP="002B6B57">
            <w:pPr>
              <w:pStyle w:val="Tabelid"/>
              <w:jc w:val="right"/>
            </w:pPr>
            <w:r w:rsidRPr="001D6947">
              <w:t>319</w:t>
            </w:r>
          </w:p>
        </w:tc>
        <w:tc>
          <w:tcPr>
            <w:tcW w:w="924" w:type="dxa"/>
            <w:tcBorders>
              <w:top w:val="nil"/>
              <w:left w:val="nil"/>
              <w:bottom w:val="single" w:sz="4" w:space="0" w:color="FFFFFF"/>
              <w:right w:val="single" w:sz="4" w:space="0" w:color="FFFFFF"/>
            </w:tcBorders>
            <w:shd w:val="clear" w:color="000000" w:fill="D9D9D9"/>
            <w:vAlign w:val="center"/>
            <w:hideMark/>
          </w:tcPr>
          <w:p w14:paraId="49644C50" w14:textId="0C435B6C" w:rsidR="00F86851" w:rsidRPr="001D6947" w:rsidRDefault="00F86851" w:rsidP="002B6B57">
            <w:pPr>
              <w:pStyle w:val="Tabelid"/>
              <w:jc w:val="right"/>
            </w:pPr>
            <w:r w:rsidRPr="001D6947">
              <w:t>292</w:t>
            </w:r>
          </w:p>
        </w:tc>
        <w:tc>
          <w:tcPr>
            <w:tcW w:w="947" w:type="dxa"/>
            <w:tcBorders>
              <w:top w:val="nil"/>
              <w:left w:val="nil"/>
              <w:bottom w:val="single" w:sz="4" w:space="0" w:color="FFFFFF"/>
              <w:right w:val="single" w:sz="4" w:space="0" w:color="FFFFFF"/>
            </w:tcBorders>
            <w:shd w:val="clear" w:color="000000" w:fill="D9D9D9"/>
            <w:vAlign w:val="center"/>
            <w:hideMark/>
          </w:tcPr>
          <w:p w14:paraId="27D06305" w14:textId="7FE751E7" w:rsidR="00F86851" w:rsidRPr="001D6947" w:rsidRDefault="00F86851" w:rsidP="002B6B57">
            <w:pPr>
              <w:pStyle w:val="Tabelid"/>
              <w:jc w:val="right"/>
            </w:pPr>
            <w:r w:rsidRPr="001D6947">
              <w:t>270</w:t>
            </w:r>
          </w:p>
        </w:tc>
        <w:tc>
          <w:tcPr>
            <w:tcW w:w="957" w:type="dxa"/>
            <w:tcBorders>
              <w:top w:val="nil"/>
              <w:left w:val="nil"/>
              <w:bottom w:val="single" w:sz="4" w:space="0" w:color="FFFFFF"/>
              <w:right w:val="single" w:sz="4" w:space="0" w:color="FFFFFF"/>
            </w:tcBorders>
            <w:shd w:val="clear" w:color="000000" w:fill="D9D9D9"/>
            <w:vAlign w:val="center"/>
            <w:hideMark/>
          </w:tcPr>
          <w:p w14:paraId="00737503" w14:textId="30FDE1D6" w:rsidR="00F86851" w:rsidRPr="001D6947" w:rsidRDefault="00F86851" w:rsidP="002B6B57">
            <w:pPr>
              <w:pStyle w:val="Tabelid"/>
              <w:jc w:val="right"/>
            </w:pPr>
            <w:r w:rsidRPr="001D6947">
              <w:t>247</w:t>
            </w:r>
          </w:p>
        </w:tc>
      </w:tr>
      <w:tr w:rsidR="00F86851" w:rsidRPr="001D6947" w14:paraId="6B7D5F42" w14:textId="77777777" w:rsidTr="00904F3D">
        <w:trPr>
          <w:trHeight w:val="388"/>
        </w:trPr>
        <w:tc>
          <w:tcPr>
            <w:tcW w:w="2082" w:type="dxa"/>
            <w:tcBorders>
              <w:top w:val="nil"/>
              <w:left w:val="nil"/>
              <w:bottom w:val="single" w:sz="4" w:space="0" w:color="FFFFFF"/>
              <w:right w:val="single" w:sz="8" w:space="0" w:color="auto"/>
            </w:tcBorders>
            <w:shd w:val="clear" w:color="auto" w:fill="auto"/>
            <w:vAlign w:val="center"/>
            <w:hideMark/>
          </w:tcPr>
          <w:p w14:paraId="44368720" w14:textId="77777777" w:rsidR="00F86851" w:rsidRPr="001D6947" w:rsidRDefault="00F86851" w:rsidP="002B6B57">
            <w:pPr>
              <w:pStyle w:val="Tabelid"/>
            </w:pPr>
            <w:r w:rsidRPr="001D6947">
              <w:t xml:space="preserve">    sotsiaalkindlustusfondid</w:t>
            </w:r>
          </w:p>
        </w:tc>
        <w:tc>
          <w:tcPr>
            <w:tcW w:w="909" w:type="dxa"/>
            <w:tcBorders>
              <w:top w:val="nil"/>
              <w:left w:val="single" w:sz="4" w:space="0" w:color="FFFFFF"/>
              <w:bottom w:val="single" w:sz="4" w:space="0" w:color="FFFFFF"/>
              <w:right w:val="single" w:sz="4" w:space="0" w:color="FFFFFF"/>
            </w:tcBorders>
            <w:shd w:val="clear" w:color="auto" w:fill="auto"/>
            <w:vAlign w:val="center"/>
            <w:hideMark/>
          </w:tcPr>
          <w:p w14:paraId="7AEABF85" w14:textId="77777777" w:rsidR="00F86851" w:rsidRPr="001D6947" w:rsidRDefault="00F86851" w:rsidP="002B6B57">
            <w:pPr>
              <w:pStyle w:val="Tabelid"/>
              <w:jc w:val="right"/>
            </w:pPr>
            <w:r w:rsidRPr="001D6947">
              <w:t>815</w:t>
            </w:r>
          </w:p>
        </w:tc>
        <w:tc>
          <w:tcPr>
            <w:tcW w:w="791" w:type="dxa"/>
            <w:tcBorders>
              <w:top w:val="nil"/>
              <w:left w:val="single" w:sz="4" w:space="0" w:color="FFFFFF"/>
              <w:bottom w:val="single" w:sz="4" w:space="0" w:color="FFFFFF"/>
              <w:right w:val="single" w:sz="4" w:space="0" w:color="FFFFFF"/>
            </w:tcBorders>
            <w:shd w:val="clear" w:color="auto" w:fill="auto"/>
            <w:vAlign w:val="center"/>
            <w:hideMark/>
          </w:tcPr>
          <w:p w14:paraId="1AC25CE9" w14:textId="6767F4BA" w:rsidR="00F86851" w:rsidRPr="001D6947" w:rsidRDefault="00F86851" w:rsidP="002B6B57">
            <w:pPr>
              <w:pStyle w:val="Tabelid"/>
              <w:jc w:val="right"/>
            </w:pPr>
            <w:r w:rsidRPr="001D6947">
              <w:t>802</w:t>
            </w:r>
          </w:p>
        </w:tc>
        <w:tc>
          <w:tcPr>
            <w:tcW w:w="924" w:type="dxa"/>
            <w:tcBorders>
              <w:top w:val="nil"/>
              <w:left w:val="nil"/>
              <w:bottom w:val="single" w:sz="4" w:space="0" w:color="FFFFFF"/>
              <w:right w:val="single" w:sz="4" w:space="0" w:color="FFFFFF"/>
            </w:tcBorders>
            <w:shd w:val="clear" w:color="auto" w:fill="auto"/>
            <w:vAlign w:val="center"/>
            <w:hideMark/>
          </w:tcPr>
          <w:p w14:paraId="2D731968" w14:textId="01FAA17B" w:rsidR="00F86851" w:rsidRPr="001D6947" w:rsidRDefault="00F86851" w:rsidP="002B6B57">
            <w:pPr>
              <w:pStyle w:val="Tabelid"/>
              <w:jc w:val="right"/>
            </w:pPr>
            <w:r w:rsidRPr="001D6947">
              <w:t>909</w:t>
            </w:r>
          </w:p>
        </w:tc>
        <w:tc>
          <w:tcPr>
            <w:tcW w:w="923" w:type="dxa"/>
            <w:tcBorders>
              <w:top w:val="nil"/>
              <w:left w:val="nil"/>
              <w:bottom w:val="single" w:sz="4" w:space="0" w:color="FFFFFF"/>
              <w:right w:val="single" w:sz="4" w:space="0" w:color="FFFFFF"/>
            </w:tcBorders>
            <w:shd w:val="clear" w:color="auto" w:fill="auto"/>
            <w:vAlign w:val="center"/>
            <w:hideMark/>
          </w:tcPr>
          <w:p w14:paraId="33A27E8D" w14:textId="4B97C81C" w:rsidR="00F86851" w:rsidRPr="001D6947" w:rsidRDefault="00F86851" w:rsidP="002B6B57">
            <w:pPr>
              <w:pStyle w:val="Tabelid"/>
              <w:jc w:val="right"/>
            </w:pPr>
            <w:r w:rsidRPr="001D6947">
              <w:t>1 117</w:t>
            </w:r>
          </w:p>
        </w:tc>
        <w:tc>
          <w:tcPr>
            <w:tcW w:w="923" w:type="dxa"/>
            <w:tcBorders>
              <w:top w:val="nil"/>
              <w:left w:val="nil"/>
              <w:bottom w:val="single" w:sz="4" w:space="0" w:color="FFFFFF"/>
              <w:right w:val="single" w:sz="4" w:space="0" w:color="FFFFFF"/>
            </w:tcBorders>
            <w:shd w:val="clear" w:color="auto" w:fill="auto"/>
            <w:vAlign w:val="center"/>
            <w:hideMark/>
          </w:tcPr>
          <w:p w14:paraId="7BDDC3E8" w14:textId="1958C710" w:rsidR="00F86851" w:rsidRPr="001D6947" w:rsidRDefault="00F86851" w:rsidP="002B6B57">
            <w:pPr>
              <w:pStyle w:val="Tabelid"/>
              <w:jc w:val="right"/>
            </w:pPr>
            <w:r w:rsidRPr="001D6947">
              <w:t>1 213</w:t>
            </w:r>
          </w:p>
        </w:tc>
        <w:tc>
          <w:tcPr>
            <w:tcW w:w="923" w:type="dxa"/>
            <w:tcBorders>
              <w:top w:val="nil"/>
              <w:left w:val="nil"/>
              <w:bottom w:val="single" w:sz="4" w:space="0" w:color="FFFFFF"/>
              <w:right w:val="single" w:sz="4" w:space="0" w:color="FFFFFF"/>
            </w:tcBorders>
            <w:shd w:val="clear" w:color="auto" w:fill="auto"/>
            <w:vAlign w:val="center"/>
            <w:hideMark/>
          </w:tcPr>
          <w:p w14:paraId="05B18F93" w14:textId="1919EED9" w:rsidR="00F86851" w:rsidRPr="001D6947" w:rsidRDefault="00F86851" w:rsidP="002B6B57">
            <w:pPr>
              <w:pStyle w:val="Tabelid"/>
              <w:jc w:val="right"/>
            </w:pPr>
            <w:r w:rsidRPr="001D6947">
              <w:t>1 229</w:t>
            </w:r>
          </w:p>
        </w:tc>
        <w:tc>
          <w:tcPr>
            <w:tcW w:w="924" w:type="dxa"/>
            <w:tcBorders>
              <w:top w:val="nil"/>
              <w:left w:val="nil"/>
              <w:bottom w:val="single" w:sz="4" w:space="0" w:color="FFFFFF"/>
              <w:right w:val="single" w:sz="4" w:space="0" w:color="FFFFFF"/>
            </w:tcBorders>
            <w:shd w:val="clear" w:color="auto" w:fill="auto"/>
            <w:vAlign w:val="center"/>
            <w:hideMark/>
          </w:tcPr>
          <w:p w14:paraId="07DDAA49" w14:textId="205D368A" w:rsidR="00F86851" w:rsidRPr="001D6947" w:rsidRDefault="00F86851" w:rsidP="002B6B57">
            <w:pPr>
              <w:pStyle w:val="Tabelid"/>
              <w:jc w:val="right"/>
            </w:pPr>
            <w:r w:rsidRPr="001D6947">
              <w:t>1 123</w:t>
            </w:r>
          </w:p>
        </w:tc>
        <w:tc>
          <w:tcPr>
            <w:tcW w:w="947" w:type="dxa"/>
            <w:tcBorders>
              <w:top w:val="nil"/>
              <w:left w:val="nil"/>
              <w:bottom w:val="single" w:sz="4" w:space="0" w:color="FFFFFF"/>
              <w:right w:val="single" w:sz="4" w:space="0" w:color="FFFFFF"/>
            </w:tcBorders>
            <w:shd w:val="clear" w:color="auto" w:fill="auto"/>
            <w:vAlign w:val="center"/>
            <w:hideMark/>
          </w:tcPr>
          <w:p w14:paraId="5DDA689E" w14:textId="73E7D998" w:rsidR="00F86851" w:rsidRPr="001D6947" w:rsidRDefault="00F86851" w:rsidP="002B6B57">
            <w:pPr>
              <w:pStyle w:val="Tabelid"/>
              <w:jc w:val="right"/>
            </w:pPr>
            <w:r w:rsidRPr="001D6947">
              <w:t>986</w:t>
            </w:r>
          </w:p>
        </w:tc>
        <w:tc>
          <w:tcPr>
            <w:tcW w:w="957" w:type="dxa"/>
            <w:tcBorders>
              <w:top w:val="nil"/>
              <w:left w:val="nil"/>
              <w:bottom w:val="single" w:sz="4" w:space="0" w:color="FFFFFF"/>
              <w:right w:val="single" w:sz="4" w:space="0" w:color="FFFFFF"/>
            </w:tcBorders>
            <w:shd w:val="clear" w:color="auto" w:fill="auto"/>
            <w:vAlign w:val="center"/>
            <w:hideMark/>
          </w:tcPr>
          <w:p w14:paraId="1EEC54C9" w14:textId="5635D766" w:rsidR="00F86851" w:rsidRPr="001D6947" w:rsidRDefault="00F86851" w:rsidP="002B6B57">
            <w:pPr>
              <w:pStyle w:val="Tabelid"/>
              <w:jc w:val="right"/>
            </w:pPr>
            <w:r w:rsidRPr="001D6947">
              <w:t>799</w:t>
            </w:r>
          </w:p>
        </w:tc>
      </w:tr>
      <w:tr w:rsidR="00F86851" w:rsidRPr="001D6947" w14:paraId="26C9854B" w14:textId="77777777" w:rsidTr="00904F3D">
        <w:trPr>
          <w:trHeight w:val="388"/>
        </w:trPr>
        <w:tc>
          <w:tcPr>
            <w:tcW w:w="2082" w:type="dxa"/>
            <w:tcBorders>
              <w:top w:val="nil"/>
              <w:left w:val="nil"/>
              <w:bottom w:val="single" w:sz="4" w:space="0" w:color="FFFFFF"/>
              <w:right w:val="single" w:sz="8" w:space="0" w:color="auto"/>
            </w:tcBorders>
            <w:shd w:val="clear" w:color="000000" w:fill="D9D9D9"/>
            <w:vAlign w:val="center"/>
            <w:hideMark/>
          </w:tcPr>
          <w:p w14:paraId="43BC68AD" w14:textId="77777777" w:rsidR="00F86851" w:rsidRPr="002B6B57" w:rsidRDefault="00F86851" w:rsidP="002B6B57">
            <w:pPr>
              <w:pStyle w:val="Tabelid"/>
              <w:rPr>
                <w:b/>
                <w:bCs/>
              </w:rPr>
            </w:pPr>
            <w:r w:rsidRPr="002B6B57">
              <w:rPr>
                <w:b/>
                <w:bCs/>
              </w:rPr>
              <w:t>Finantsvarad kokku (% SKPst)</w:t>
            </w:r>
          </w:p>
        </w:tc>
        <w:tc>
          <w:tcPr>
            <w:tcW w:w="909" w:type="dxa"/>
            <w:tcBorders>
              <w:top w:val="nil"/>
              <w:left w:val="single" w:sz="4" w:space="0" w:color="FFFFFF"/>
              <w:bottom w:val="single" w:sz="4" w:space="0" w:color="FFFFFF"/>
              <w:right w:val="single" w:sz="4" w:space="0" w:color="FFFFFF"/>
            </w:tcBorders>
            <w:shd w:val="clear" w:color="000000" w:fill="D9D9D9"/>
            <w:vAlign w:val="center"/>
            <w:hideMark/>
          </w:tcPr>
          <w:p w14:paraId="2E089EDF" w14:textId="77777777" w:rsidR="00F86851" w:rsidRPr="002B6B57" w:rsidRDefault="00F86851" w:rsidP="002B6B57">
            <w:pPr>
              <w:pStyle w:val="Tabelid"/>
              <w:jc w:val="right"/>
              <w:rPr>
                <w:b/>
                <w:bCs/>
              </w:rPr>
            </w:pPr>
            <w:r w:rsidRPr="002B6B57">
              <w:rPr>
                <w:b/>
                <w:bCs/>
              </w:rPr>
              <w:t>8,7</w:t>
            </w:r>
          </w:p>
        </w:tc>
        <w:tc>
          <w:tcPr>
            <w:tcW w:w="791" w:type="dxa"/>
            <w:tcBorders>
              <w:top w:val="nil"/>
              <w:left w:val="single" w:sz="4" w:space="0" w:color="FFFFFF"/>
              <w:bottom w:val="single" w:sz="4" w:space="0" w:color="FFFFFF"/>
              <w:right w:val="single" w:sz="4" w:space="0" w:color="FFFFFF"/>
            </w:tcBorders>
            <w:shd w:val="clear" w:color="000000" w:fill="D9D9D9"/>
            <w:vAlign w:val="center"/>
            <w:hideMark/>
          </w:tcPr>
          <w:p w14:paraId="1BC3ABAD" w14:textId="7CC75117" w:rsidR="00F86851" w:rsidRPr="002B6B57" w:rsidRDefault="00F86851" w:rsidP="002B6B57">
            <w:pPr>
              <w:pStyle w:val="Tabelid"/>
              <w:jc w:val="right"/>
              <w:rPr>
                <w:b/>
                <w:bCs/>
              </w:rPr>
            </w:pPr>
            <w:r w:rsidRPr="002B6B57">
              <w:rPr>
                <w:b/>
                <w:bCs/>
              </w:rPr>
              <w:t>12,0</w:t>
            </w:r>
          </w:p>
        </w:tc>
        <w:tc>
          <w:tcPr>
            <w:tcW w:w="924" w:type="dxa"/>
            <w:tcBorders>
              <w:top w:val="nil"/>
              <w:left w:val="nil"/>
              <w:bottom w:val="single" w:sz="4" w:space="0" w:color="FFFFFF"/>
              <w:right w:val="single" w:sz="4" w:space="0" w:color="FFFFFF"/>
            </w:tcBorders>
            <w:shd w:val="clear" w:color="000000" w:fill="D9D9D9"/>
            <w:vAlign w:val="center"/>
            <w:hideMark/>
          </w:tcPr>
          <w:p w14:paraId="3C9DDD72" w14:textId="6DE6330B" w:rsidR="00F86851" w:rsidRPr="002B6B57" w:rsidRDefault="00F86851" w:rsidP="002B6B57">
            <w:pPr>
              <w:pStyle w:val="Tabelid"/>
              <w:jc w:val="right"/>
              <w:rPr>
                <w:b/>
                <w:bCs/>
              </w:rPr>
            </w:pPr>
            <w:r w:rsidRPr="002B6B57">
              <w:rPr>
                <w:b/>
                <w:bCs/>
              </w:rPr>
              <w:t>9,9</w:t>
            </w:r>
          </w:p>
        </w:tc>
        <w:tc>
          <w:tcPr>
            <w:tcW w:w="923" w:type="dxa"/>
            <w:tcBorders>
              <w:top w:val="nil"/>
              <w:left w:val="nil"/>
              <w:bottom w:val="single" w:sz="4" w:space="0" w:color="FFFFFF"/>
              <w:right w:val="single" w:sz="4" w:space="0" w:color="FFFFFF"/>
            </w:tcBorders>
            <w:shd w:val="clear" w:color="000000" w:fill="D9D9D9"/>
            <w:vAlign w:val="center"/>
            <w:hideMark/>
          </w:tcPr>
          <w:p w14:paraId="0F4530D7" w14:textId="645087CA" w:rsidR="00F86851" w:rsidRPr="002B6B57" w:rsidRDefault="00F86851" w:rsidP="002B6B57">
            <w:pPr>
              <w:pStyle w:val="Tabelid"/>
              <w:jc w:val="right"/>
              <w:rPr>
                <w:b/>
                <w:bCs/>
              </w:rPr>
            </w:pPr>
            <w:r w:rsidRPr="002B6B57">
              <w:rPr>
                <w:b/>
                <w:bCs/>
              </w:rPr>
              <w:t>11,1</w:t>
            </w:r>
          </w:p>
        </w:tc>
        <w:tc>
          <w:tcPr>
            <w:tcW w:w="923" w:type="dxa"/>
            <w:tcBorders>
              <w:top w:val="nil"/>
              <w:left w:val="nil"/>
              <w:bottom w:val="single" w:sz="4" w:space="0" w:color="FFFFFF"/>
              <w:right w:val="single" w:sz="4" w:space="0" w:color="FFFFFF"/>
            </w:tcBorders>
            <w:shd w:val="clear" w:color="000000" w:fill="D9D9D9"/>
            <w:vAlign w:val="center"/>
            <w:hideMark/>
          </w:tcPr>
          <w:p w14:paraId="6C6F5416" w14:textId="5401930E" w:rsidR="00F86851" w:rsidRPr="002B6B57" w:rsidRDefault="00F86851" w:rsidP="002B6B57">
            <w:pPr>
              <w:pStyle w:val="Tabelid"/>
              <w:jc w:val="right"/>
              <w:rPr>
                <w:b/>
                <w:bCs/>
              </w:rPr>
            </w:pPr>
            <w:r w:rsidRPr="002B6B57">
              <w:rPr>
                <w:b/>
                <w:bCs/>
              </w:rPr>
              <w:t>7,3</w:t>
            </w:r>
          </w:p>
        </w:tc>
        <w:tc>
          <w:tcPr>
            <w:tcW w:w="923" w:type="dxa"/>
            <w:tcBorders>
              <w:top w:val="nil"/>
              <w:left w:val="nil"/>
              <w:bottom w:val="single" w:sz="4" w:space="0" w:color="FFFFFF"/>
              <w:right w:val="single" w:sz="4" w:space="0" w:color="FFFFFF"/>
            </w:tcBorders>
            <w:shd w:val="clear" w:color="000000" w:fill="D9D9D9"/>
            <w:vAlign w:val="center"/>
            <w:hideMark/>
          </w:tcPr>
          <w:p w14:paraId="05F9C1BD" w14:textId="7350961A" w:rsidR="00F86851" w:rsidRPr="002B6B57" w:rsidRDefault="00F86851" w:rsidP="002B6B57">
            <w:pPr>
              <w:pStyle w:val="Tabelid"/>
              <w:jc w:val="right"/>
              <w:rPr>
                <w:b/>
                <w:bCs/>
              </w:rPr>
            </w:pPr>
            <w:r w:rsidRPr="002B6B57">
              <w:rPr>
                <w:b/>
                <w:bCs/>
              </w:rPr>
              <w:t>6,9</w:t>
            </w:r>
          </w:p>
        </w:tc>
        <w:tc>
          <w:tcPr>
            <w:tcW w:w="924" w:type="dxa"/>
            <w:tcBorders>
              <w:top w:val="nil"/>
              <w:left w:val="nil"/>
              <w:bottom w:val="single" w:sz="4" w:space="0" w:color="FFFFFF"/>
              <w:right w:val="single" w:sz="4" w:space="0" w:color="FFFFFF"/>
            </w:tcBorders>
            <w:shd w:val="clear" w:color="000000" w:fill="D9D9D9"/>
            <w:vAlign w:val="center"/>
            <w:hideMark/>
          </w:tcPr>
          <w:p w14:paraId="598A18F2" w14:textId="6367BEC7" w:rsidR="00F86851" w:rsidRPr="002B6B57" w:rsidRDefault="00F86851" w:rsidP="002B6B57">
            <w:pPr>
              <w:pStyle w:val="Tabelid"/>
              <w:jc w:val="right"/>
              <w:rPr>
                <w:b/>
                <w:bCs/>
              </w:rPr>
            </w:pPr>
            <w:r w:rsidRPr="002B6B57">
              <w:rPr>
                <w:b/>
                <w:bCs/>
              </w:rPr>
              <w:t>6,8</w:t>
            </w:r>
          </w:p>
        </w:tc>
        <w:tc>
          <w:tcPr>
            <w:tcW w:w="947" w:type="dxa"/>
            <w:tcBorders>
              <w:top w:val="nil"/>
              <w:left w:val="nil"/>
              <w:bottom w:val="single" w:sz="4" w:space="0" w:color="FFFFFF"/>
              <w:right w:val="single" w:sz="4" w:space="0" w:color="FFFFFF"/>
            </w:tcBorders>
            <w:shd w:val="clear" w:color="000000" w:fill="D9D9D9"/>
            <w:vAlign w:val="center"/>
            <w:hideMark/>
          </w:tcPr>
          <w:p w14:paraId="21EBD8FA" w14:textId="3616858A" w:rsidR="00F86851" w:rsidRPr="002B6B57" w:rsidRDefault="00F86851" w:rsidP="002B6B57">
            <w:pPr>
              <w:pStyle w:val="Tabelid"/>
              <w:jc w:val="right"/>
              <w:rPr>
                <w:b/>
                <w:bCs/>
              </w:rPr>
            </w:pPr>
            <w:r w:rsidRPr="002B6B57">
              <w:rPr>
                <w:b/>
                <w:bCs/>
              </w:rPr>
              <w:t>6,6</w:t>
            </w:r>
          </w:p>
        </w:tc>
        <w:tc>
          <w:tcPr>
            <w:tcW w:w="957" w:type="dxa"/>
            <w:tcBorders>
              <w:top w:val="nil"/>
              <w:left w:val="nil"/>
              <w:bottom w:val="single" w:sz="4" w:space="0" w:color="FFFFFF"/>
              <w:right w:val="single" w:sz="4" w:space="0" w:color="FFFFFF"/>
            </w:tcBorders>
            <w:shd w:val="clear" w:color="000000" w:fill="D9D9D9"/>
            <w:vAlign w:val="center"/>
            <w:hideMark/>
          </w:tcPr>
          <w:p w14:paraId="6FEFB939" w14:textId="430A5CF9" w:rsidR="00F86851" w:rsidRPr="002B6B57" w:rsidRDefault="00F86851" w:rsidP="002B6B57">
            <w:pPr>
              <w:pStyle w:val="Tabelid"/>
              <w:jc w:val="right"/>
              <w:rPr>
                <w:b/>
                <w:bCs/>
              </w:rPr>
            </w:pPr>
            <w:r w:rsidRPr="002B6B57">
              <w:rPr>
                <w:b/>
                <w:bCs/>
              </w:rPr>
              <w:t>6,5</w:t>
            </w:r>
          </w:p>
        </w:tc>
      </w:tr>
      <w:tr w:rsidR="00F86851" w:rsidRPr="001D6947" w14:paraId="35E3D944" w14:textId="77777777" w:rsidTr="00904F3D">
        <w:trPr>
          <w:trHeight w:val="388"/>
        </w:trPr>
        <w:tc>
          <w:tcPr>
            <w:tcW w:w="2082" w:type="dxa"/>
            <w:tcBorders>
              <w:top w:val="nil"/>
              <w:left w:val="nil"/>
              <w:bottom w:val="single" w:sz="4" w:space="0" w:color="FFFFFF"/>
              <w:right w:val="single" w:sz="8" w:space="0" w:color="auto"/>
            </w:tcBorders>
            <w:shd w:val="clear" w:color="auto" w:fill="auto"/>
            <w:vAlign w:val="center"/>
            <w:hideMark/>
          </w:tcPr>
          <w:p w14:paraId="06ABA918" w14:textId="77777777" w:rsidR="00F86851" w:rsidRPr="001D6947" w:rsidRDefault="00F86851" w:rsidP="002B6B57">
            <w:pPr>
              <w:pStyle w:val="Tabelid"/>
            </w:pPr>
            <w:r w:rsidRPr="001D6947">
              <w:t>sh keskvalitsus</w:t>
            </w:r>
          </w:p>
        </w:tc>
        <w:tc>
          <w:tcPr>
            <w:tcW w:w="909" w:type="dxa"/>
            <w:tcBorders>
              <w:top w:val="nil"/>
              <w:left w:val="single" w:sz="4" w:space="0" w:color="FFFFFF"/>
              <w:bottom w:val="single" w:sz="4" w:space="0" w:color="FFFFFF"/>
              <w:right w:val="single" w:sz="4" w:space="0" w:color="FFFFFF"/>
            </w:tcBorders>
            <w:shd w:val="clear" w:color="auto" w:fill="auto"/>
            <w:vAlign w:val="center"/>
            <w:hideMark/>
          </w:tcPr>
          <w:p w14:paraId="0282A523" w14:textId="77777777" w:rsidR="00F86851" w:rsidRPr="001D6947" w:rsidRDefault="00F86851" w:rsidP="002B6B57">
            <w:pPr>
              <w:pStyle w:val="Tabelid"/>
              <w:jc w:val="right"/>
            </w:pPr>
            <w:r w:rsidRPr="001D6947">
              <w:t>4,0</w:t>
            </w:r>
          </w:p>
        </w:tc>
        <w:tc>
          <w:tcPr>
            <w:tcW w:w="791" w:type="dxa"/>
            <w:tcBorders>
              <w:top w:val="nil"/>
              <w:left w:val="single" w:sz="4" w:space="0" w:color="FFFFFF"/>
              <w:bottom w:val="single" w:sz="4" w:space="0" w:color="FFFFFF"/>
              <w:right w:val="single" w:sz="4" w:space="0" w:color="FFFFFF"/>
            </w:tcBorders>
            <w:shd w:val="clear" w:color="auto" w:fill="auto"/>
            <w:vAlign w:val="center"/>
            <w:hideMark/>
          </w:tcPr>
          <w:p w14:paraId="6905D1A8" w14:textId="5DA11C00" w:rsidR="00F86851" w:rsidRPr="001D6947" w:rsidRDefault="00F86851" w:rsidP="002B6B57">
            <w:pPr>
              <w:pStyle w:val="Tabelid"/>
              <w:jc w:val="right"/>
            </w:pPr>
            <w:r w:rsidRPr="001D6947">
              <w:t>7,3</w:t>
            </w:r>
          </w:p>
        </w:tc>
        <w:tc>
          <w:tcPr>
            <w:tcW w:w="924" w:type="dxa"/>
            <w:tcBorders>
              <w:top w:val="nil"/>
              <w:left w:val="nil"/>
              <w:bottom w:val="single" w:sz="4" w:space="0" w:color="FFFFFF"/>
              <w:right w:val="single" w:sz="4" w:space="0" w:color="FFFFFF"/>
            </w:tcBorders>
            <w:shd w:val="clear" w:color="auto" w:fill="auto"/>
            <w:vAlign w:val="center"/>
            <w:hideMark/>
          </w:tcPr>
          <w:p w14:paraId="1F48FEBD" w14:textId="33FEAF53" w:rsidR="00F86851" w:rsidRPr="001D6947" w:rsidRDefault="00F86851" w:rsidP="002B6B57">
            <w:pPr>
              <w:pStyle w:val="Tabelid"/>
              <w:jc w:val="right"/>
            </w:pPr>
            <w:r w:rsidRPr="001D6947">
              <w:t>5,8</w:t>
            </w:r>
          </w:p>
        </w:tc>
        <w:tc>
          <w:tcPr>
            <w:tcW w:w="923" w:type="dxa"/>
            <w:tcBorders>
              <w:top w:val="nil"/>
              <w:left w:val="nil"/>
              <w:bottom w:val="single" w:sz="4" w:space="0" w:color="FFFFFF"/>
              <w:right w:val="single" w:sz="4" w:space="0" w:color="FFFFFF"/>
            </w:tcBorders>
            <w:shd w:val="clear" w:color="auto" w:fill="auto"/>
            <w:vAlign w:val="center"/>
            <w:hideMark/>
          </w:tcPr>
          <w:p w14:paraId="4E6167EF" w14:textId="1EC794EE" w:rsidR="00F86851" w:rsidRPr="001D6947" w:rsidRDefault="00F86851" w:rsidP="002B6B57">
            <w:pPr>
              <w:pStyle w:val="Tabelid"/>
              <w:jc w:val="right"/>
            </w:pPr>
            <w:r w:rsidRPr="001D6947">
              <w:t>7,0</w:t>
            </w:r>
          </w:p>
        </w:tc>
        <w:tc>
          <w:tcPr>
            <w:tcW w:w="923" w:type="dxa"/>
            <w:tcBorders>
              <w:top w:val="nil"/>
              <w:left w:val="nil"/>
              <w:bottom w:val="single" w:sz="4" w:space="0" w:color="FFFFFF"/>
              <w:right w:val="single" w:sz="4" w:space="0" w:color="FFFFFF"/>
            </w:tcBorders>
            <w:shd w:val="clear" w:color="auto" w:fill="auto"/>
            <w:vAlign w:val="center"/>
            <w:hideMark/>
          </w:tcPr>
          <w:p w14:paraId="09DD1C69" w14:textId="1D11119D" w:rsidR="00F86851" w:rsidRPr="001D6947" w:rsidRDefault="00F86851" w:rsidP="002B6B57">
            <w:pPr>
              <w:pStyle w:val="Tabelid"/>
              <w:jc w:val="right"/>
            </w:pPr>
            <w:r w:rsidRPr="001D6947">
              <w:t>3,3</w:t>
            </w:r>
          </w:p>
        </w:tc>
        <w:tc>
          <w:tcPr>
            <w:tcW w:w="923" w:type="dxa"/>
            <w:tcBorders>
              <w:top w:val="nil"/>
              <w:left w:val="nil"/>
              <w:bottom w:val="single" w:sz="4" w:space="0" w:color="FFFFFF"/>
              <w:right w:val="single" w:sz="4" w:space="0" w:color="FFFFFF"/>
            </w:tcBorders>
            <w:shd w:val="clear" w:color="auto" w:fill="auto"/>
            <w:vAlign w:val="center"/>
            <w:hideMark/>
          </w:tcPr>
          <w:p w14:paraId="0297A0CB" w14:textId="763CF734" w:rsidR="00F86851" w:rsidRPr="001D6947" w:rsidRDefault="00F86851" w:rsidP="002B6B57">
            <w:pPr>
              <w:pStyle w:val="Tabelid"/>
              <w:jc w:val="right"/>
            </w:pPr>
            <w:r w:rsidRPr="001D6947">
              <w:t>3,2</w:t>
            </w:r>
          </w:p>
        </w:tc>
        <w:tc>
          <w:tcPr>
            <w:tcW w:w="924" w:type="dxa"/>
            <w:tcBorders>
              <w:top w:val="nil"/>
              <w:left w:val="nil"/>
              <w:bottom w:val="single" w:sz="4" w:space="0" w:color="FFFFFF"/>
              <w:right w:val="single" w:sz="4" w:space="0" w:color="FFFFFF"/>
            </w:tcBorders>
            <w:shd w:val="clear" w:color="auto" w:fill="auto"/>
            <w:vAlign w:val="center"/>
            <w:hideMark/>
          </w:tcPr>
          <w:p w14:paraId="0E004B83" w14:textId="265E3679" w:rsidR="00F86851" w:rsidRPr="001D6947" w:rsidRDefault="00F86851" w:rsidP="002B6B57">
            <w:pPr>
              <w:pStyle w:val="Tabelid"/>
              <w:jc w:val="right"/>
            </w:pPr>
            <w:r w:rsidRPr="001D6947">
              <w:t>3,5</w:t>
            </w:r>
          </w:p>
        </w:tc>
        <w:tc>
          <w:tcPr>
            <w:tcW w:w="947" w:type="dxa"/>
            <w:tcBorders>
              <w:top w:val="nil"/>
              <w:left w:val="nil"/>
              <w:bottom w:val="single" w:sz="4" w:space="0" w:color="FFFFFF"/>
              <w:right w:val="single" w:sz="4" w:space="0" w:color="FFFFFF"/>
            </w:tcBorders>
            <w:shd w:val="clear" w:color="auto" w:fill="auto"/>
            <w:vAlign w:val="center"/>
            <w:hideMark/>
          </w:tcPr>
          <w:p w14:paraId="3C5DAA2C" w14:textId="014C54EC" w:rsidR="00F86851" w:rsidRPr="001D6947" w:rsidRDefault="00F86851" w:rsidP="002B6B57">
            <w:pPr>
              <w:pStyle w:val="Tabelid"/>
              <w:jc w:val="right"/>
            </w:pPr>
            <w:r w:rsidRPr="001D6947">
              <w:t>3,8</w:t>
            </w:r>
          </w:p>
        </w:tc>
        <w:tc>
          <w:tcPr>
            <w:tcW w:w="957" w:type="dxa"/>
            <w:tcBorders>
              <w:top w:val="nil"/>
              <w:left w:val="nil"/>
              <w:bottom w:val="single" w:sz="4" w:space="0" w:color="FFFFFF"/>
              <w:right w:val="single" w:sz="4" w:space="0" w:color="FFFFFF"/>
            </w:tcBorders>
            <w:shd w:val="clear" w:color="auto" w:fill="auto"/>
            <w:vAlign w:val="center"/>
            <w:hideMark/>
          </w:tcPr>
          <w:p w14:paraId="705632B2" w14:textId="28A9EE4D" w:rsidR="00F86851" w:rsidRPr="001D6947" w:rsidRDefault="00F86851" w:rsidP="002B6B57">
            <w:pPr>
              <w:pStyle w:val="Tabelid"/>
              <w:jc w:val="right"/>
            </w:pPr>
            <w:r w:rsidRPr="001D6947">
              <w:t>4,3</w:t>
            </w:r>
          </w:p>
        </w:tc>
      </w:tr>
      <w:tr w:rsidR="00F86851" w:rsidRPr="001D6947" w14:paraId="521F9EB6" w14:textId="77777777" w:rsidTr="00904F3D">
        <w:trPr>
          <w:trHeight w:val="388"/>
        </w:trPr>
        <w:tc>
          <w:tcPr>
            <w:tcW w:w="2082" w:type="dxa"/>
            <w:tcBorders>
              <w:top w:val="nil"/>
              <w:left w:val="nil"/>
              <w:bottom w:val="single" w:sz="4" w:space="0" w:color="FFFFFF"/>
              <w:right w:val="single" w:sz="8" w:space="0" w:color="auto"/>
            </w:tcBorders>
            <w:shd w:val="clear" w:color="000000" w:fill="D9D9D9"/>
            <w:vAlign w:val="center"/>
            <w:hideMark/>
          </w:tcPr>
          <w:p w14:paraId="0112D043" w14:textId="77777777" w:rsidR="00F86851" w:rsidRPr="001D6947" w:rsidRDefault="00F86851" w:rsidP="002B6B57">
            <w:pPr>
              <w:pStyle w:val="Tabelid"/>
            </w:pPr>
            <w:r w:rsidRPr="001D6947">
              <w:t>kohalikud omavalitsused</w:t>
            </w:r>
          </w:p>
        </w:tc>
        <w:tc>
          <w:tcPr>
            <w:tcW w:w="909" w:type="dxa"/>
            <w:tcBorders>
              <w:top w:val="nil"/>
              <w:left w:val="single" w:sz="4" w:space="0" w:color="FFFFFF"/>
              <w:bottom w:val="single" w:sz="4" w:space="0" w:color="FFFFFF"/>
              <w:right w:val="single" w:sz="4" w:space="0" w:color="FFFFFF"/>
            </w:tcBorders>
            <w:shd w:val="clear" w:color="000000" w:fill="D9D9D9"/>
            <w:vAlign w:val="center"/>
            <w:hideMark/>
          </w:tcPr>
          <w:p w14:paraId="49CC438D" w14:textId="77777777" w:rsidR="00F86851" w:rsidRPr="001D6947" w:rsidRDefault="00F86851" w:rsidP="002B6B57">
            <w:pPr>
              <w:pStyle w:val="Tabelid"/>
              <w:jc w:val="right"/>
            </w:pPr>
            <w:r w:rsidRPr="001D6947">
              <w:t>0,9</w:t>
            </w:r>
          </w:p>
        </w:tc>
        <w:tc>
          <w:tcPr>
            <w:tcW w:w="791" w:type="dxa"/>
            <w:tcBorders>
              <w:top w:val="nil"/>
              <w:left w:val="single" w:sz="4" w:space="0" w:color="FFFFFF"/>
              <w:bottom w:val="single" w:sz="4" w:space="0" w:color="FFFFFF"/>
              <w:right w:val="single" w:sz="4" w:space="0" w:color="FFFFFF"/>
            </w:tcBorders>
            <w:shd w:val="clear" w:color="000000" w:fill="D9D9D9"/>
            <w:vAlign w:val="center"/>
            <w:hideMark/>
          </w:tcPr>
          <w:p w14:paraId="3C484E51" w14:textId="03A86B96" w:rsidR="00F86851" w:rsidRPr="001D6947" w:rsidRDefault="00F86851" w:rsidP="002B6B57">
            <w:pPr>
              <w:pStyle w:val="Tabelid"/>
              <w:jc w:val="right"/>
            </w:pPr>
            <w:r w:rsidRPr="001D6947">
              <w:t>1,8</w:t>
            </w:r>
          </w:p>
        </w:tc>
        <w:tc>
          <w:tcPr>
            <w:tcW w:w="924" w:type="dxa"/>
            <w:tcBorders>
              <w:top w:val="nil"/>
              <w:left w:val="nil"/>
              <w:bottom w:val="single" w:sz="4" w:space="0" w:color="FFFFFF"/>
              <w:right w:val="single" w:sz="4" w:space="0" w:color="FFFFFF"/>
            </w:tcBorders>
            <w:shd w:val="clear" w:color="000000" w:fill="D9D9D9"/>
            <w:vAlign w:val="center"/>
            <w:hideMark/>
          </w:tcPr>
          <w:p w14:paraId="3CF1536A" w14:textId="3B2194EC" w:rsidR="00F86851" w:rsidRPr="001D6947" w:rsidRDefault="00F86851" w:rsidP="002B6B57">
            <w:pPr>
              <w:pStyle w:val="Tabelid"/>
              <w:jc w:val="right"/>
            </w:pPr>
            <w:r w:rsidRPr="001D6947">
              <w:t>1,2</w:t>
            </w:r>
          </w:p>
        </w:tc>
        <w:tc>
          <w:tcPr>
            <w:tcW w:w="923" w:type="dxa"/>
            <w:tcBorders>
              <w:top w:val="nil"/>
              <w:left w:val="nil"/>
              <w:bottom w:val="single" w:sz="4" w:space="0" w:color="FFFFFF"/>
              <w:right w:val="single" w:sz="4" w:space="0" w:color="FFFFFF"/>
            </w:tcBorders>
            <w:shd w:val="clear" w:color="000000" w:fill="D9D9D9"/>
            <w:vAlign w:val="center"/>
            <w:hideMark/>
          </w:tcPr>
          <w:p w14:paraId="1119E91F" w14:textId="454A20E8" w:rsidR="00F86851" w:rsidRPr="001D6947" w:rsidRDefault="00F86851" w:rsidP="002B6B57">
            <w:pPr>
              <w:pStyle w:val="Tabelid"/>
              <w:jc w:val="right"/>
            </w:pPr>
            <w:r w:rsidRPr="001D6947">
              <w:t>1,0</w:t>
            </w:r>
          </w:p>
        </w:tc>
        <w:tc>
          <w:tcPr>
            <w:tcW w:w="923" w:type="dxa"/>
            <w:tcBorders>
              <w:top w:val="nil"/>
              <w:left w:val="nil"/>
              <w:bottom w:val="single" w:sz="4" w:space="0" w:color="FFFFFF"/>
              <w:right w:val="single" w:sz="4" w:space="0" w:color="FFFFFF"/>
            </w:tcBorders>
            <w:shd w:val="clear" w:color="000000" w:fill="D9D9D9"/>
            <w:vAlign w:val="center"/>
            <w:hideMark/>
          </w:tcPr>
          <w:p w14:paraId="2A10F50C" w14:textId="0B6BD68B" w:rsidR="00F86851" w:rsidRPr="001D6947" w:rsidRDefault="00F86851" w:rsidP="002B6B57">
            <w:pPr>
              <w:pStyle w:val="Tabelid"/>
              <w:jc w:val="right"/>
            </w:pPr>
            <w:r w:rsidRPr="001D6947">
              <w:t>0,9</w:t>
            </w:r>
          </w:p>
        </w:tc>
        <w:tc>
          <w:tcPr>
            <w:tcW w:w="923" w:type="dxa"/>
            <w:tcBorders>
              <w:top w:val="nil"/>
              <w:left w:val="nil"/>
              <w:bottom w:val="single" w:sz="4" w:space="0" w:color="FFFFFF"/>
              <w:right w:val="single" w:sz="4" w:space="0" w:color="FFFFFF"/>
            </w:tcBorders>
            <w:shd w:val="clear" w:color="000000" w:fill="D9D9D9"/>
            <w:vAlign w:val="center"/>
            <w:hideMark/>
          </w:tcPr>
          <w:p w14:paraId="67959C55" w14:textId="308EA20F" w:rsidR="00F86851" w:rsidRPr="001D6947" w:rsidRDefault="00F86851" w:rsidP="002B6B57">
            <w:pPr>
              <w:pStyle w:val="Tabelid"/>
              <w:jc w:val="right"/>
            </w:pPr>
            <w:r w:rsidRPr="001D6947">
              <w:t>0,8</w:t>
            </w:r>
          </w:p>
        </w:tc>
        <w:tc>
          <w:tcPr>
            <w:tcW w:w="924" w:type="dxa"/>
            <w:tcBorders>
              <w:top w:val="nil"/>
              <w:left w:val="nil"/>
              <w:bottom w:val="single" w:sz="4" w:space="0" w:color="FFFFFF"/>
              <w:right w:val="single" w:sz="4" w:space="0" w:color="FFFFFF"/>
            </w:tcBorders>
            <w:shd w:val="clear" w:color="000000" w:fill="D9D9D9"/>
            <w:vAlign w:val="center"/>
            <w:hideMark/>
          </w:tcPr>
          <w:p w14:paraId="719B53F3" w14:textId="77C77C3A" w:rsidR="00F86851" w:rsidRPr="001D6947" w:rsidRDefault="00F86851" w:rsidP="002B6B57">
            <w:pPr>
              <w:pStyle w:val="Tabelid"/>
              <w:jc w:val="right"/>
            </w:pPr>
            <w:r w:rsidRPr="001D6947">
              <w:t>0,7</w:t>
            </w:r>
          </w:p>
        </w:tc>
        <w:tc>
          <w:tcPr>
            <w:tcW w:w="947" w:type="dxa"/>
            <w:tcBorders>
              <w:top w:val="nil"/>
              <w:left w:val="nil"/>
              <w:bottom w:val="single" w:sz="4" w:space="0" w:color="FFFFFF"/>
              <w:right w:val="single" w:sz="4" w:space="0" w:color="FFFFFF"/>
            </w:tcBorders>
            <w:shd w:val="clear" w:color="000000" w:fill="D9D9D9"/>
            <w:vAlign w:val="center"/>
            <w:hideMark/>
          </w:tcPr>
          <w:p w14:paraId="6EF080C5" w14:textId="7DA2183F" w:rsidR="00F86851" w:rsidRPr="001D6947" w:rsidRDefault="00F86851" w:rsidP="002B6B57">
            <w:pPr>
              <w:pStyle w:val="Tabelid"/>
              <w:jc w:val="right"/>
            </w:pPr>
            <w:r w:rsidRPr="001D6947">
              <w:t>0,6</w:t>
            </w:r>
          </w:p>
        </w:tc>
        <w:tc>
          <w:tcPr>
            <w:tcW w:w="957" w:type="dxa"/>
            <w:tcBorders>
              <w:top w:val="nil"/>
              <w:left w:val="nil"/>
              <w:bottom w:val="single" w:sz="4" w:space="0" w:color="FFFFFF"/>
              <w:right w:val="single" w:sz="4" w:space="0" w:color="FFFFFF"/>
            </w:tcBorders>
            <w:shd w:val="clear" w:color="000000" w:fill="D9D9D9"/>
            <w:vAlign w:val="center"/>
            <w:hideMark/>
          </w:tcPr>
          <w:p w14:paraId="1B88EA33" w14:textId="7DE355B8" w:rsidR="00F86851" w:rsidRPr="001D6947" w:rsidRDefault="00F86851" w:rsidP="002B6B57">
            <w:pPr>
              <w:pStyle w:val="Tabelid"/>
              <w:jc w:val="right"/>
            </w:pPr>
            <w:r w:rsidRPr="001D6947">
              <w:t>0,5</w:t>
            </w:r>
          </w:p>
        </w:tc>
      </w:tr>
      <w:tr w:rsidR="00F86851" w:rsidRPr="001D6947" w14:paraId="42C2ECB6" w14:textId="77777777" w:rsidTr="00904F3D">
        <w:trPr>
          <w:trHeight w:val="388"/>
        </w:trPr>
        <w:tc>
          <w:tcPr>
            <w:tcW w:w="2082" w:type="dxa"/>
            <w:tcBorders>
              <w:top w:val="nil"/>
              <w:left w:val="nil"/>
              <w:bottom w:val="single" w:sz="4" w:space="0" w:color="FFFFFF"/>
              <w:right w:val="single" w:sz="8" w:space="0" w:color="auto"/>
            </w:tcBorders>
            <w:shd w:val="clear" w:color="auto" w:fill="auto"/>
            <w:vAlign w:val="center"/>
            <w:hideMark/>
          </w:tcPr>
          <w:p w14:paraId="3F722DA8" w14:textId="77777777" w:rsidR="00F86851" w:rsidRPr="001D6947" w:rsidRDefault="00F86851" w:rsidP="002B6B57">
            <w:pPr>
              <w:pStyle w:val="Tabelid"/>
            </w:pPr>
            <w:r w:rsidRPr="001D6947">
              <w:t>sotsiaalkindlustusfondid</w:t>
            </w:r>
          </w:p>
        </w:tc>
        <w:tc>
          <w:tcPr>
            <w:tcW w:w="909" w:type="dxa"/>
            <w:tcBorders>
              <w:top w:val="nil"/>
              <w:left w:val="single" w:sz="4" w:space="0" w:color="FFFFFF"/>
              <w:bottom w:val="single" w:sz="4" w:space="0" w:color="FFFFFF"/>
              <w:right w:val="single" w:sz="4" w:space="0" w:color="FFFFFF"/>
            </w:tcBorders>
            <w:shd w:val="clear" w:color="auto" w:fill="auto"/>
            <w:vAlign w:val="center"/>
            <w:hideMark/>
          </w:tcPr>
          <w:p w14:paraId="1A4E5FDF" w14:textId="77777777" w:rsidR="00F86851" w:rsidRPr="001D6947" w:rsidRDefault="00F86851" w:rsidP="002B6B57">
            <w:pPr>
              <w:pStyle w:val="Tabelid"/>
              <w:jc w:val="right"/>
            </w:pPr>
            <w:r w:rsidRPr="001D6947">
              <w:t>3,8</w:t>
            </w:r>
          </w:p>
        </w:tc>
        <w:tc>
          <w:tcPr>
            <w:tcW w:w="791" w:type="dxa"/>
            <w:tcBorders>
              <w:top w:val="nil"/>
              <w:left w:val="single" w:sz="4" w:space="0" w:color="FFFFFF"/>
              <w:bottom w:val="single" w:sz="4" w:space="0" w:color="FFFFFF"/>
              <w:right w:val="single" w:sz="4" w:space="0" w:color="FFFFFF"/>
            </w:tcBorders>
            <w:shd w:val="clear" w:color="auto" w:fill="auto"/>
            <w:vAlign w:val="center"/>
            <w:hideMark/>
          </w:tcPr>
          <w:p w14:paraId="4BC0BFAF" w14:textId="158C7151" w:rsidR="00F86851" w:rsidRPr="001D6947" w:rsidRDefault="00F86851" w:rsidP="002B6B57">
            <w:pPr>
              <w:pStyle w:val="Tabelid"/>
              <w:jc w:val="right"/>
            </w:pPr>
            <w:r w:rsidRPr="001D6947">
              <w:t>2,9</w:t>
            </w:r>
          </w:p>
        </w:tc>
        <w:tc>
          <w:tcPr>
            <w:tcW w:w="924" w:type="dxa"/>
            <w:tcBorders>
              <w:top w:val="nil"/>
              <w:left w:val="nil"/>
              <w:bottom w:val="single" w:sz="4" w:space="0" w:color="FFFFFF"/>
              <w:right w:val="single" w:sz="4" w:space="0" w:color="FFFFFF"/>
            </w:tcBorders>
            <w:shd w:val="clear" w:color="auto" w:fill="auto"/>
            <w:vAlign w:val="center"/>
            <w:hideMark/>
          </w:tcPr>
          <w:p w14:paraId="3C8675F7" w14:textId="0C350BE5" w:rsidR="00F86851" w:rsidRPr="001D6947" w:rsidRDefault="00F86851" w:rsidP="002B6B57">
            <w:pPr>
              <w:pStyle w:val="Tabelid"/>
              <w:jc w:val="right"/>
            </w:pPr>
            <w:r w:rsidRPr="001D6947">
              <w:t>2,9</w:t>
            </w:r>
          </w:p>
        </w:tc>
        <w:tc>
          <w:tcPr>
            <w:tcW w:w="923" w:type="dxa"/>
            <w:tcBorders>
              <w:top w:val="nil"/>
              <w:left w:val="nil"/>
              <w:bottom w:val="single" w:sz="4" w:space="0" w:color="FFFFFF"/>
              <w:right w:val="single" w:sz="4" w:space="0" w:color="FFFFFF"/>
            </w:tcBorders>
            <w:shd w:val="clear" w:color="auto" w:fill="auto"/>
            <w:vAlign w:val="center"/>
            <w:hideMark/>
          </w:tcPr>
          <w:p w14:paraId="0D6852F6" w14:textId="6BD94ECC" w:rsidR="00F86851" w:rsidRPr="001D6947" w:rsidRDefault="00F86851" w:rsidP="002B6B57">
            <w:pPr>
              <w:pStyle w:val="Tabelid"/>
              <w:jc w:val="right"/>
            </w:pPr>
            <w:r w:rsidRPr="001D6947">
              <w:t>3,1</w:t>
            </w:r>
          </w:p>
        </w:tc>
        <w:tc>
          <w:tcPr>
            <w:tcW w:w="923" w:type="dxa"/>
            <w:tcBorders>
              <w:top w:val="nil"/>
              <w:left w:val="nil"/>
              <w:bottom w:val="single" w:sz="4" w:space="0" w:color="FFFFFF"/>
              <w:right w:val="single" w:sz="4" w:space="0" w:color="FFFFFF"/>
            </w:tcBorders>
            <w:shd w:val="clear" w:color="auto" w:fill="auto"/>
            <w:vAlign w:val="center"/>
            <w:hideMark/>
          </w:tcPr>
          <w:p w14:paraId="76434CC1" w14:textId="3C54DED9" w:rsidR="00F86851" w:rsidRPr="001D6947" w:rsidRDefault="00F86851" w:rsidP="002B6B57">
            <w:pPr>
              <w:pStyle w:val="Tabelid"/>
              <w:jc w:val="right"/>
            </w:pPr>
            <w:r w:rsidRPr="001D6947">
              <w:t>3,1</w:t>
            </w:r>
          </w:p>
        </w:tc>
        <w:tc>
          <w:tcPr>
            <w:tcW w:w="923" w:type="dxa"/>
            <w:tcBorders>
              <w:top w:val="nil"/>
              <w:left w:val="nil"/>
              <w:bottom w:val="single" w:sz="4" w:space="0" w:color="FFFFFF"/>
              <w:right w:val="single" w:sz="4" w:space="0" w:color="FFFFFF"/>
            </w:tcBorders>
            <w:shd w:val="clear" w:color="auto" w:fill="auto"/>
            <w:vAlign w:val="center"/>
            <w:hideMark/>
          </w:tcPr>
          <w:p w14:paraId="0EE47A75" w14:textId="5C804A4A" w:rsidR="00F86851" w:rsidRPr="001D6947" w:rsidRDefault="00F86851" w:rsidP="002B6B57">
            <w:pPr>
              <w:pStyle w:val="Tabelid"/>
              <w:jc w:val="right"/>
            </w:pPr>
            <w:r w:rsidRPr="001D6947">
              <w:t>3,0</w:t>
            </w:r>
          </w:p>
        </w:tc>
        <w:tc>
          <w:tcPr>
            <w:tcW w:w="924" w:type="dxa"/>
            <w:tcBorders>
              <w:top w:val="nil"/>
              <w:left w:val="nil"/>
              <w:bottom w:val="single" w:sz="4" w:space="0" w:color="FFFFFF"/>
              <w:right w:val="single" w:sz="4" w:space="0" w:color="FFFFFF"/>
            </w:tcBorders>
            <w:shd w:val="clear" w:color="auto" w:fill="auto"/>
            <w:vAlign w:val="center"/>
            <w:hideMark/>
          </w:tcPr>
          <w:p w14:paraId="6E3A952C" w14:textId="0DF0B3B8" w:rsidR="00F86851" w:rsidRPr="001D6947" w:rsidRDefault="00F86851" w:rsidP="002B6B57">
            <w:pPr>
              <w:pStyle w:val="Tabelid"/>
              <w:jc w:val="right"/>
            </w:pPr>
            <w:r w:rsidRPr="001D6947">
              <w:t>2,6</w:t>
            </w:r>
          </w:p>
        </w:tc>
        <w:tc>
          <w:tcPr>
            <w:tcW w:w="947" w:type="dxa"/>
            <w:tcBorders>
              <w:top w:val="nil"/>
              <w:left w:val="nil"/>
              <w:bottom w:val="single" w:sz="4" w:space="0" w:color="FFFFFF"/>
              <w:right w:val="single" w:sz="4" w:space="0" w:color="FFFFFF"/>
            </w:tcBorders>
            <w:shd w:val="clear" w:color="auto" w:fill="auto"/>
            <w:vAlign w:val="center"/>
            <w:hideMark/>
          </w:tcPr>
          <w:p w14:paraId="58799B70" w14:textId="2661B30A" w:rsidR="00F86851" w:rsidRPr="001D6947" w:rsidRDefault="00F86851" w:rsidP="002B6B57">
            <w:pPr>
              <w:pStyle w:val="Tabelid"/>
              <w:jc w:val="right"/>
            </w:pPr>
            <w:r w:rsidRPr="001D6947">
              <w:t>2,2</w:t>
            </w:r>
          </w:p>
        </w:tc>
        <w:tc>
          <w:tcPr>
            <w:tcW w:w="957" w:type="dxa"/>
            <w:tcBorders>
              <w:top w:val="nil"/>
              <w:left w:val="nil"/>
              <w:bottom w:val="single" w:sz="4" w:space="0" w:color="FFFFFF"/>
              <w:right w:val="single" w:sz="4" w:space="0" w:color="FFFFFF"/>
            </w:tcBorders>
            <w:shd w:val="clear" w:color="auto" w:fill="auto"/>
            <w:vAlign w:val="center"/>
            <w:hideMark/>
          </w:tcPr>
          <w:p w14:paraId="4C4D0B9A" w14:textId="604B406E" w:rsidR="00F86851" w:rsidRPr="001D6947" w:rsidRDefault="00F86851" w:rsidP="002B6B57">
            <w:pPr>
              <w:pStyle w:val="Tabelid"/>
              <w:jc w:val="right"/>
            </w:pPr>
            <w:r w:rsidRPr="001D6947">
              <w:t>1,7</w:t>
            </w:r>
          </w:p>
        </w:tc>
      </w:tr>
    </w:tbl>
    <w:p w14:paraId="4D3AE7CD" w14:textId="5EEDB4A4" w:rsidR="000F0D21" w:rsidRPr="00364988" w:rsidRDefault="000F0D21" w:rsidP="00364988">
      <w:pPr>
        <w:pStyle w:val="Mrkus"/>
      </w:pPr>
      <w:r w:rsidRPr="00364988">
        <w:t>*valitsussektori tasandil konsolideeritud</w:t>
      </w:r>
    </w:p>
    <w:p w14:paraId="54AC00B7" w14:textId="77777777" w:rsidR="00201039" w:rsidRPr="00414819" w:rsidRDefault="00201039" w:rsidP="00831AD9">
      <w:pPr>
        <w:rPr>
          <w:highlight w:val="yellow"/>
        </w:rPr>
      </w:pPr>
    </w:p>
    <w:p w14:paraId="0A036084" w14:textId="5207C3AE" w:rsidR="00DE3672" w:rsidRPr="001D6947" w:rsidRDefault="00EC243C" w:rsidP="00EC243C">
      <w:pPr>
        <w:pStyle w:val="Caption"/>
      </w:pPr>
      <w:bookmarkStart w:id="289" w:name="_Ref81861861"/>
      <w:bookmarkStart w:id="290" w:name="_Toc4502680"/>
      <w:bookmarkStart w:id="291" w:name="_Toc143775563"/>
      <w:bookmarkEnd w:id="282"/>
      <w:bookmarkEnd w:id="283"/>
      <w:r w:rsidRPr="001D6947">
        <w:t xml:space="preserve">Tabel </w:t>
      </w:r>
      <w:r w:rsidR="004C0EAE">
        <w:fldChar w:fldCharType="begin"/>
      </w:r>
      <w:r w:rsidR="004C0EAE">
        <w:instrText xml:space="preserve"> SEQ Tabel \* ARABIC </w:instrText>
      </w:r>
      <w:r w:rsidR="004C0EAE">
        <w:fldChar w:fldCharType="separate"/>
      </w:r>
      <w:r w:rsidR="008478E8">
        <w:rPr>
          <w:noProof/>
        </w:rPr>
        <w:t>22</w:t>
      </w:r>
      <w:r w:rsidR="004C0EAE">
        <w:rPr>
          <w:noProof/>
        </w:rPr>
        <w:fldChar w:fldCharType="end"/>
      </w:r>
      <w:bookmarkEnd w:id="289"/>
      <w:r w:rsidRPr="001D6947">
        <w:t xml:space="preserve">. </w:t>
      </w:r>
      <w:r w:rsidR="00DE3672" w:rsidRPr="001D6947">
        <w:t>Ühekordsed meetmed ja nende mõju 20</w:t>
      </w:r>
      <w:r w:rsidR="00831B55" w:rsidRPr="001D6947">
        <w:t>20</w:t>
      </w:r>
      <w:r w:rsidR="00DE3672" w:rsidRPr="001D6947">
        <w:t>–202</w:t>
      </w:r>
      <w:r w:rsidR="0022558F" w:rsidRPr="001D6947">
        <w:t>7</w:t>
      </w:r>
      <w:r w:rsidR="00DE3672" w:rsidRPr="001D6947">
        <w:t xml:space="preserve"> (mln eurot)</w:t>
      </w:r>
      <w:bookmarkEnd w:id="290"/>
      <w:bookmarkEnd w:id="291"/>
    </w:p>
    <w:tbl>
      <w:tblPr>
        <w:tblStyle w:val="TableSubtle1"/>
        <w:tblW w:w="10348" w:type="dxa"/>
        <w:tblLayout w:type="fixed"/>
        <w:tblLook w:val="04A0" w:firstRow="1" w:lastRow="0" w:firstColumn="1" w:lastColumn="0" w:noHBand="0" w:noVBand="1"/>
      </w:tblPr>
      <w:tblGrid>
        <w:gridCol w:w="3492"/>
        <w:gridCol w:w="983"/>
        <w:gridCol w:w="734"/>
        <w:gridCol w:w="734"/>
        <w:gridCol w:w="734"/>
        <w:gridCol w:w="734"/>
        <w:gridCol w:w="734"/>
        <w:gridCol w:w="734"/>
        <w:gridCol w:w="734"/>
        <w:gridCol w:w="735"/>
      </w:tblGrid>
      <w:tr w:rsidR="0022558F" w:rsidRPr="001D6947" w14:paraId="1481789B" w14:textId="3FA523B6" w:rsidTr="0022558F">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492" w:type="dxa"/>
            <w:noWrap/>
          </w:tcPr>
          <w:p w14:paraId="3E9A5091" w14:textId="77777777" w:rsidR="0022558F" w:rsidRPr="002B6B57" w:rsidRDefault="0022558F" w:rsidP="002B6B57">
            <w:pPr>
              <w:pStyle w:val="Tabelid"/>
            </w:pPr>
            <w:r w:rsidRPr="002B6B57">
              <w:t>Meede</w:t>
            </w:r>
          </w:p>
        </w:tc>
        <w:tc>
          <w:tcPr>
            <w:tcW w:w="983" w:type="dxa"/>
          </w:tcPr>
          <w:p w14:paraId="41118F63" w14:textId="7B4DD5D2"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2011-19</w:t>
            </w:r>
          </w:p>
        </w:tc>
        <w:tc>
          <w:tcPr>
            <w:tcW w:w="734" w:type="dxa"/>
          </w:tcPr>
          <w:p w14:paraId="59B69218" w14:textId="7410DFEF"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2020</w:t>
            </w:r>
          </w:p>
        </w:tc>
        <w:tc>
          <w:tcPr>
            <w:tcW w:w="734" w:type="dxa"/>
            <w:noWrap/>
          </w:tcPr>
          <w:p w14:paraId="4C0F8759" w14:textId="466BBD66"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2021</w:t>
            </w:r>
          </w:p>
        </w:tc>
        <w:tc>
          <w:tcPr>
            <w:tcW w:w="734" w:type="dxa"/>
            <w:noWrap/>
          </w:tcPr>
          <w:p w14:paraId="0AC83900" w14:textId="2E4DC959"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2022</w:t>
            </w:r>
          </w:p>
        </w:tc>
        <w:tc>
          <w:tcPr>
            <w:tcW w:w="734" w:type="dxa"/>
            <w:noWrap/>
          </w:tcPr>
          <w:p w14:paraId="3E3F7C68" w14:textId="79322642"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2023</w:t>
            </w:r>
          </w:p>
        </w:tc>
        <w:tc>
          <w:tcPr>
            <w:tcW w:w="734" w:type="dxa"/>
          </w:tcPr>
          <w:p w14:paraId="24947F98" w14:textId="13F2A465"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2024</w:t>
            </w:r>
          </w:p>
        </w:tc>
        <w:tc>
          <w:tcPr>
            <w:tcW w:w="734" w:type="dxa"/>
          </w:tcPr>
          <w:p w14:paraId="6FEFAD94" w14:textId="5E997841"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2025</w:t>
            </w:r>
          </w:p>
        </w:tc>
        <w:tc>
          <w:tcPr>
            <w:tcW w:w="734" w:type="dxa"/>
          </w:tcPr>
          <w:p w14:paraId="58E2EBEB" w14:textId="40A72CFB"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2026</w:t>
            </w:r>
          </w:p>
        </w:tc>
        <w:tc>
          <w:tcPr>
            <w:tcW w:w="735" w:type="dxa"/>
          </w:tcPr>
          <w:p w14:paraId="3D57CFD7" w14:textId="353E5697" w:rsidR="0022558F" w:rsidRPr="002B6B57" w:rsidRDefault="0022558F" w:rsidP="002B6B57">
            <w:pPr>
              <w:pStyle w:val="Tabelid"/>
              <w:jc w:val="right"/>
              <w:cnfStyle w:val="100000000000" w:firstRow="1" w:lastRow="0" w:firstColumn="0" w:lastColumn="0" w:oddVBand="0" w:evenVBand="0" w:oddHBand="0" w:evenHBand="0" w:firstRowFirstColumn="0" w:firstRowLastColumn="0" w:lastRowFirstColumn="0" w:lastRowLastColumn="0"/>
            </w:pPr>
            <w:r w:rsidRPr="002B6B57">
              <w:t>2027</w:t>
            </w:r>
          </w:p>
        </w:tc>
      </w:tr>
      <w:tr w:rsidR="002D7182" w:rsidRPr="001D6947" w14:paraId="506BF7F0" w14:textId="6CCD32F6" w:rsidTr="0022558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492" w:type="dxa"/>
            <w:noWrap/>
          </w:tcPr>
          <w:p w14:paraId="24FC40B1" w14:textId="77777777" w:rsidR="002D7182" w:rsidRPr="002B6B57" w:rsidRDefault="002D7182" w:rsidP="002B6B57">
            <w:pPr>
              <w:pStyle w:val="Tabelid"/>
            </w:pPr>
            <w:r w:rsidRPr="002B6B57">
              <w:t>Pensionisüsteemi teise samba muudatus</w:t>
            </w:r>
          </w:p>
        </w:tc>
        <w:tc>
          <w:tcPr>
            <w:tcW w:w="983" w:type="dxa"/>
          </w:tcPr>
          <w:p w14:paraId="7C4A8CA8" w14:textId="77777777"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734" w:type="dxa"/>
          </w:tcPr>
          <w:p w14:paraId="5302F860" w14:textId="77777777"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734" w:type="dxa"/>
            <w:noWrap/>
          </w:tcPr>
          <w:p w14:paraId="33FF51B8" w14:textId="0B8A0C36"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296</w:t>
            </w:r>
          </w:p>
        </w:tc>
        <w:tc>
          <w:tcPr>
            <w:tcW w:w="734" w:type="dxa"/>
            <w:noWrap/>
          </w:tcPr>
          <w:p w14:paraId="64EEC753" w14:textId="74BDA3DF"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85</w:t>
            </w:r>
          </w:p>
        </w:tc>
        <w:tc>
          <w:tcPr>
            <w:tcW w:w="734" w:type="dxa"/>
            <w:noWrap/>
          </w:tcPr>
          <w:p w14:paraId="37619FEF" w14:textId="5649722C"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734" w:type="dxa"/>
          </w:tcPr>
          <w:p w14:paraId="37415311" w14:textId="77777777"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734" w:type="dxa"/>
          </w:tcPr>
          <w:p w14:paraId="601C7257" w14:textId="77777777"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734" w:type="dxa"/>
          </w:tcPr>
          <w:p w14:paraId="3E5B522A" w14:textId="77777777"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p>
        </w:tc>
        <w:tc>
          <w:tcPr>
            <w:tcW w:w="735" w:type="dxa"/>
          </w:tcPr>
          <w:p w14:paraId="1728E8A0" w14:textId="77777777"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p>
        </w:tc>
      </w:tr>
      <w:tr w:rsidR="002D7182" w:rsidRPr="001D6947" w14:paraId="7CC660CB" w14:textId="17711346" w:rsidTr="0022558F">
        <w:trPr>
          <w:trHeight w:val="255"/>
        </w:trPr>
        <w:tc>
          <w:tcPr>
            <w:cnfStyle w:val="001000000000" w:firstRow="0" w:lastRow="0" w:firstColumn="1" w:lastColumn="0" w:oddVBand="0" w:evenVBand="0" w:oddHBand="0" w:evenHBand="0" w:firstRowFirstColumn="0" w:firstRowLastColumn="0" w:lastRowFirstColumn="0" w:lastRowLastColumn="0"/>
            <w:tcW w:w="3492" w:type="dxa"/>
            <w:noWrap/>
          </w:tcPr>
          <w:p w14:paraId="5913947E" w14:textId="77777777" w:rsidR="002D7182" w:rsidRPr="002B6B57" w:rsidRDefault="002D7182" w:rsidP="002B6B57">
            <w:pPr>
              <w:pStyle w:val="Tabelid"/>
            </w:pPr>
            <w:r w:rsidRPr="002B6B57">
              <w:t>Kokku, mln eurot</w:t>
            </w:r>
          </w:p>
        </w:tc>
        <w:tc>
          <w:tcPr>
            <w:tcW w:w="983" w:type="dxa"/>
          </w:tcPr>
          <w:p w14:paraId="5F348B99" w14:textId="262CA870"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-35</w:t>
            </w:r>
          </w:p>
        </w:tc>
        <w:tc>
          <w:tcPr>
            <w:tcW w:w="734" w:type="dxa"/>
          </w:tcPr>
          <w:p w14:paraId="7DDC6703" w14:textId="1ED5EA98"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0</w:t>
            </w:r>
          </w:p>
        </w:tc>
        <w:tc>
          <w:tcPr>
            <w:tcW w:w="734" w:type="dxa"/>
            <w:noWrap/>
          </w:tcPr>
          <w:p w14:paraId="0B68D6A7" w14:textId="7907FA5A"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296</w:t>
            </w:r>
          </w:p>
        </w:tc>
        <w:tc>
          <w:tcPr>
            <w:tcW w:w="734" w:type="dxa"/>
            <w:noWrap/>
          </w:tcPr>
          <w:p w14:paraId="4FFF822F" w14:textId="53D1F64D"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85</w:t>
            </w:r>
          </w:p>
        </w:tc>
        <w:tc>
          <w:tcPr>
            <w:tcW w:w="734" w:type="dxa"/>
            <w:noWrap/>
          </w:tcPr>
          <w:p w14:paraId="183223C9" w14:textId="71821415"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0</w:t>
            </w:r>
          </w:p>
        </w:tc>
        <w:tc>
          <w:tcPr>
            <w:tcW w:w="734" w:type="dxa"/>
          </w:tcPr>
          <w:p w14:paraId="5693A046" w14:textId="6565F07A"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0</w:t>
            </w:r>
          </w:p>
        </w:tc>
        <w:tc>
          <w:tcPr>
            <w:tcW w:w="734" w:type="dxa"/>
          </w:tcPr>
          <w:p w14:paraId="7878777E" w14:textId="06D53BF9"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0</w:t>
            </w:r>
          </w:p>
        </w:tc>
        <w:tc>
          <w:tcPr>
            <w:tcW w:w="734" w:type="dxa"/>
          </w:tcPr>
          <w:p w14:paraId="408D035A" w14:textId="356987C9"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0</w:t>
            </w:r>
          </w:p>
        </w:tc>
        <w:tc>
          <w:tcPr>
            <w:tcW w:w="735" w:type="dxa"/>
          </w:tcPr>
          <w:p w14:paraId="67FD3367" w14:textId="2C8AF699" w:rsidR="002D7182" w:rsidRPr="002B6B57" w:rsidRDefault="002D7182" w:rsidP="002B6B57">
            <w:pPr>
              <w:pStyle w:val="Tabelid"/>
              <w:jc w:val="right"/>
              <w:cnfStyle w:val="000000000000" w:firstRow="0" w:lastRow="0" w:firstColumn="0" w:lastColumn="0" w:oddVBand="0" w:evenVBand="0" w:oddHBand="0" w:evenHBand="0" w:firstRowFirstColumn="0" w:firstRowLastColumn="0" w:lastRowFirstColumn="0" w:lastRowLastColumn="0"/>
            </w:pPr>
            <w:r w:rsidRPr="002B6B57">
              <w:t>0</w:t>
            </w:r>
          </w:p>
        </w:tc>
      </w:tr>
      <w:tr w:rsidR="002D7182" w:rsidRPr="001D6947" w14:paraId="4A67A84B" w14:textId="77A9E17D" w:rsidTr="0022558F">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492" w:type="dxa"/>
            <w:noWrap/>
          </w:tcPr>
          <w:p w14:paraId="617C486D" w14:textId="77777777" w:rsidR="002D7182" w:rsidRPr="002B6B57" w:rsidRDefault="002D7182" w:rsidP="002B6B57">
            <w:pPr>
              <w:pStyle w:val="Tabelid"/>
            </w:pPr>
            <w:r w:rsidRPr="002B6B57">
              <w:t>Kokku, % SKPst</w:t>
            </w:r>
          </w:p>
        </w:tc>
        <w:tc>
          <w:tcPr>
            <w:tcW w:w="983" w:type="dxa"/>
          </w:tcPr>
          <w:p w14:paraId="77F36106" w14:textId="5F48C9F6"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-0,1%</w:t>
            </w:r>
          </w:p>
        </w:tc>
        <w:tc>
          <w:tcPr>
            <w:tcW w:w="734" w:type="dxa"/>
          </w:tcPr>
          <w:p w14:paraId="4EDE24CE" w14:textId="60AB10FE"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0,0%</w:t>
            </w:r>
          </w:p>
        </w:tc>
        <w:tc>
          <w:tcPr>
            <w:tcW w:w="734" w:type="dxa"/>
            <w:noWrap/>
          </w:tcPr>
          <w:p w14:paraId="3B36D5F7" w14:textId="307C4D64"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0,9%</w:t>
            </w:r>
          </w:p>
        </w:tc>
        <w:tc>
          <w:tcPr>
            <w:tcW w:w="734" w:type="dxa"/>
            <w:noWrap/>
          </w:tcPr>
          <w:p w14:paraId="41BB4A7C" w14:textId="5FFAEF91"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0,2%</w:t>
            </w:r>
          </w:p>
        </w:tc>
        <w:tc>
          <w:tcPr>
            <w:tcW w:w="734" w:type="dxa"/>
            <w:noWrap/>
          </w:tcPr>
          <w:p w14:paraId="49254426" w14:textId="0A7129FD"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0,0%</w:t>
            </w:r>
          </w:p>
        </w:tc>
        <w:tc>
          <w:tcPr>
            <w:tcW w:w="734" w:type="dxa"/>
          </w:tcPr>
          <w:p w14:paraId="35B43C1F" w14:textId="541BEAF2"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0,0%</w:t>
            </w:r>
          </w:p>
        </w:tc>
        <w:tc>
          <w:tcPr>
            <w:tcW w:w="734" w:type="dxa"/>
          </w:tcPr>
          <w:p w14:paraId="5E7354B1" w14:textId="062390F0"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0,0%</w:t>
            </w:r>
          </w:p>
        </w:tc>
        <w:tc>
          <w:tcPr>
            <w:tcW w:w="734" w:type="dxa"/>
          </w:tcPr>
          <w:p w14:paraId="0984E591" w14:textId="39B08D65"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0,0%</w:t>
            </w:r>
          </w:p>
        </w:tc>
        <w:tc>
          <w:tcPr>
            <w:tcW w:w="735" w:type="dxa"/>
          </w:tcPr>
          <w:p w14:paraId="4B3C67E7" w14:textId="452D28CB" w:rsidR="002D7182" w:rsidRPr="002B6B57" w:rsidRDefault="002D7182" w:rsidP="002B6B57">
            <w:pPr>
              <w:pStyle w:val="Tabelid"/>
              <w:jc w:val="right"/>
              <w:cnfStyle w:val="000000100000" w:firstRow="0" w:lastRow="0" w:firstColumn="0" w:lastColumn="0" w:oddVBand="0" w:evenVBand="0" w:oddHBand="1" w:evenHBand="0" w:firstRowFirstColumn="0" w:firstRowLastColumn="0" w:lastRowFirstColumn="0" w:lastRowLastColumn="0"/>
            </w:pPr>
            <w:r w:rsidRPr="002B6B57">
              <w:t>0,0%</w:t>
            </w:r>
          </w:p>
        </w:tc>
      </w:tr>
    </w:tbl>
    <w:p w14:paraId="05B01D11" w14:textId="77777777" w:rsidR="00DE3672" w:rsidRPr="00364988" w:rsidRDefault="00DE3672" w:rsidP="00364988">
      <w:pPr>
        <w:pStyle w:val="Mrkus"/>
      </w:pPr>
      <w:r w:rsidRPr="00364988">
        <w:t>Allikas: Rahandusministeerium.</w:t>
      </w:r>
    </w:p>
    <w:p w14:paraId="433BF9B4" w14:textId="1EEED3F8" w:rsidR="005A487A" w:rsidRPr="00414819" w:rsidRDefault="005A487A" w:rsidP="00E66452">
      <w:pPr>
        <w:rPr>
          <w:iCs/>
          <w:color w:val="3F4B4B" w:themeColor="accent3" w:themeShade="80"/>
          <w:szCs w:val="18"/>
          <w:highlight w:val="yellow"/>
        </w:rPr>
      </w:pPr>
      <w:r w:rsidRPr="00414819">
        <w:rPr>
          <w:iCs/>
          <w:color w:val="3F4B4B" w:themeColor="accent3" w:themeShade="80"/>
          <w:szCs w:val="18"/>
          <w:highlight w:val="yellow"/>
        </w:rPr>
        <w:br w:type="page"/>
      </w:r>
    </w:p>
    <w:p w14:paraId="7E0A4B91" w14:textId="3525DB0D" w:rsidR="007E74DB" w:rsidRPr="001D6947" w:rsidRDefault="007E74DB" w:rsidP="007E74DB">
      <w:pPr>
        <w:pStyle w:val="Caption"/>
      </w:pPr>
      <w:bookmarkStart w:id="292" w:name="_Ref100182344"/>
      <w:bookmarkStart w:id="293" w:name="_Toc143775539"/>
      <w:r w:rsidRPr="001D6947">
        <w:lastRenderedPageBreak/>
        <w:t xml:space="preserve">Joonis </w:t>
      </w:r>
      <w:r w:rsidR="004C0EAE">
        <w:fldChar w:fldCharType="begin"/>
      </w:r>
      <w:r w:rsidR="004C0EAE">
        <w:instrText xml:space="preserve"> SEQ Joonis \* ARABIC </w:instrText>
      </w:r>
      <w:r w:rsidR="004C0EAE">
        <w:fldChar w:fldCharType="separate"/>
      </w:r>
      <w:r w:rsidR="00C5527F">
        <w:rPr>
          <w:noProof/>
        </w:rPr>
        <w:t>24</w:t>
      </w:r>
      <w:r w:rsidR="004C0EAE">
        <w:rPr>
          <w:noProof/>
        </w:rPr>
        <w:fldChar w:fldCharType="end"/>
      </w:r>
      <w:bookmarkEnd w:id="292"/>
      <w:r w:rsidR="000C04EE" w:rsidRPr="001D6947">
        <w:rPr>
          <w:noProof/>
        </w:rPr>
        <w:t>.</w:t>
      </w:r>
      <w:r w:rsidRPr="001D6947">
        <w:t xml:space="preserve"> Valitsussektori kulutused Euroopa Liidu riikides 202</w:t>
      </w:r>
      <w:r w:rsidR="002B03BF" w:rsidRPr="001D6947">
        <w:t>2</w:t>
      </w:r>
      <w:r w:rsidRPr="001D6947">
        <w:t>. aastal (% SKPst)</w:t>
      </w:r>
      <w:bookmarkEnd w:id="293"/>
    </w:p>
    <w:p w14:paraId="01215B30" w14:textId="338C2668" w:rsidR="00F1258D" w:rsidRPr="005931DF" w:rsidRDefault="005931DF" w:rsidP="00F1258D">
      <w:pPr>
        <w:rPr>
          <w:highlight w:val="green"/>
        </w:rPr>
      </w:pPr>
      <w:r>
        <w:rPr>
          <w:noProof/>
          <w14:ligatures w14:val="none"/>
        </w:rPr>
        <w:drawing>
          <wp:inline distT="0" distB="0" distL="0" distR="0" wp14:anchorId="262A9611" wp14:editId="19EDB3FE">
            <wp:extent cx="6336030" cy="2387600"/>
            <wp:effectExtent l="0" t="0" r="0" b="0"/>
            <wp:docPr id="89291905" name="Diagramm 1">
              <a:extLst xmlns:a="http://schemas.openxmlformats.org/drawingml/2006/main">
                <a:ext uri="{FF2B5EF4-FFF2-40B4-BE49-F238E27FC236}">
                  <a16:creationId xmlns:a16="http://schemas.microsoft.com/office/drawing/2014/main" id="{00000000-0008-0000-01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D7C2C13" w14:textId="4A47F754" w:rsidR="007E74DB" w:rsidRPr="00414819" w:rsidRDefault="007E74DB" w:rsidP="00E66452">
      <w:pPr>
        <w:rPr>
          <w:iCs/>
          <w:color w:val="3F4B4B" w:themeColor="accent3" w:themeShade="80"/>
          <w:szCs w:val="18"/>
          <w:highlight w:val="yellow"/>
        </w:rPr>
      </w:pPr>
    </w:p>
    <w:p w14:paraId="4A3E323E" w14:textId="3AC1EDD6" w:rsidR="00DE3722" w:rsidRPr="00B56E1F" w:rsidRDefault="00DE3722" w:rsidP="00DE3722">
      <w:pPr>
        <w:pStyle w:val="Caption"/>
      </w:pPr>
      <w:bookmarkStart w:id="294" w:name="_Ref100181970"/>
      <w:bookmarkStart w:id="295" w:name="_Toc143775540"/>
      <w:r w:rsidRPr="00B56E1F">
        <w:t xml:space="preserve">Joonis </w:t>
      </w:r>
      <w:r w:rsidR="004C0EAE">
        <w:fldChar w:fldCharType="begin"/>
      </w:r>
      <w:r w:rsidR="004C0EAE">
        <w:instrText xml:space="preserve"> SEQ Joonis \* ARABIC </w:instrText>
      </w:r>
      <w:r w:rsidR="004C0EAE">
        <w:fldChar w:fldCharType="separate"/>
      </w:r>
      <w:r w:rsidR="00C5527F" w:rsidRPr="00B56E1F">
        <w:rPr>
          <w:noProof/>
        </w:rPr>
        <w:t>25</w:t>
      </w:r>
      <w:r w:rsidR="004C0EAE">
        <w:rPr>
          <w:noProof/>
        </w:rPr>
        <w:fldChar w:fldCharType="end"/>
      </w:r>
      <w:bookmarkEnd w:id="294"/>
      <w:r w:rsidR="000C04EE" w:rsidRPr="00B56E1F">
        <w:rPr>
          <w:noProof/>
        </w:rPr>
        <w:t>.</w:t>
      </w:r>
      <w:r w:rsidRPr="00B56E1F">
        <w:t xml:space="preserve"> Valitsussektori kulud valitsemisfunktsiooni järgi Eestis (% SKPst)</w:t>
      </w:r>
      <w:bookmarkEnd w:id="295"/>
    </w:p>
    <w:p w14:paraId="2C5FE474" w14:textId="7252E62B" w:rsidR="00354867" w:rsidRPr="00414819" w:rsidRDefault="00B666BA" w:rsidP="00354867">
      <w:pPr>
        <w:rPr>
          <w:highlight w:val="yellow"/>
        </w:rPr>
      </w:pPr>
      <w:r>
        <w:rPr>
          <w:noProof/>
          <w14:ligatures w14:val="none"/>
        </w:rPr>
        <w:drawing>
          <wp:inline distT="0" distB="0" distL="0" distR="0" wp14:anchorId="7154E73F" wp14:editId="6C4F252C">
            <wp:extent cx="6047740" cy="2750820"/>
            <wp:effectExtent l="0" t="0" r="0" b="0"/>
            <wp:docPr id="1557760628" name="Diagramm 1">
              <a:extLst xmlns:a="http://schemas.openxmlformats.org/drawingml/2006/main">
                <a:ext uri="{FF2B5EF4-FFF2-40B4-BE49-F238E27FC236}">
                  <a16:creationId xmlns:a16="http://schemas.microsoft.com/office/drawing/2014/main" id="{4EABBFD2-683D-482A-A08B-D50481A590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4ED201F" w14:textId="21C81013" w:rsidR="00297517" w:rsidRPr="00414819" w:rsidRDefault="00297517" w:rsidP="00E66452">
      <w:pPr>
        <w:rPr>
          <w:iCs/>
          <w:color w:val="3F4B4B" w:themeColor="accent3" w:themeShade="80"/>
          <w:szCs w:val="18"/>
          <w:highlight w:val="yellow"/>
        </w:rPr>
      </w:pPr>
    </w:p>
    <w:p w14:paraId="430932FB" w14:textId="7E8CFE90" w:rsidR="00EE4BC2" w:rsidRPr="004B1416" w:rsidRDefault="00EE4BC2" w:rsidP="007F1D41">
      <w:pPr>
        <w:pStyle w:val="Caption"/>
      </w:pPr>
      <w:bookmarkStart w:id="296" w:name="_Ref112071423"/>
      <w:bookmarkStart w:id="297" w:name="_Ref112071409"/>
      <w:bookmarkStart w:id="298" w:name="_Toc143775541"/>
      <w:r w:rsidRPr="004B1416">
        <w:lastRenderedPageBreak/>
        <w:t>Joonis</w:t>
      </w:r>
      <w:r w:rsidR="007F1D41" w:rsidRPr="004B1416">
        <w:t xml:space="preserve"> </w:t>
      </w:r>
      <w:r w:rsidR="004C0EAE">
        <w:fldChar w:fldCharType="begin"/>
      </w:r>
      <w:r w:rsidR="004C0EAE">
        <w:instrText xml:space="preserve"> SEQ Joonis \* ARABIC </w:instrText>
      </w:r>
      <w:r w:rsidR="004C0EAE">
        <w:fldChar w:fldCharType="separate"/>
      </w:r>
      <w:r w:rsidR="00C5527F">
        <w:rPr>
          <w:noProof/>
        </w:rPr>
        <w:t>26</w:t>
      </w:r>
      <w:r w:rsidR="004C0EAE">
        <w:rPr>
          <w:noProof/>
        </w:rPr>
        <w:fldChar w:fldCharType="end"/>
      </w:r>
      <w:bookmarkEnd w:id="296"/>
      <w:r w:rsidRPr="004B1416">
        <w:t>. Stabiliseerimis- ja likviidsusreservi maht ning tulusus</w:t>
      </w:r>
      <w:bookmarkEnd w:id="297"/>
      <w:bookmarkEnd w:id="298"/>
      <w:r w:rsidR="0022558F" w:rsidRPr="004B1416">
        <w:t xml:space="preserve"> </w:t>
      </w:r>
    </w:p>
    <w:p w14:paraId="428A38BC" w14:textId="18D70760" w:rsidR="00EE4BC2" w:rsidRPr="00414819" w:rsidRDefault="00883BAD" w:rsidP="00EE4BC2">
      <w:pPr>
        <w:rPr>
          <w:rFonts w:ascii="Calibri" w:hAnsi="Calibri" w:cs="Calibri"/>
          <w:b/>
          <w:bCs/>
          <w:color w:val="000000"/>
          <w:sz w:val="20"/>
          <w:szCs w:val="20"/>
          <w:highlight w:val="yellow"/>
        </w:rPr>
      </w:pPr>
      <w:r>
        <w:rPr>
          <w:noProof/>
          <w14:ligatures w14:val="none"/>
        </w:rPr>
        <w:drawing>
          <wp:inline distT="0" distB="0" distL="0" distR="0" wp14:anchorId="0C42BB94" wp14:editId="69CD6F7F">
            <wp:extent cx="6336030" cy="3782695"/>
            <wp:effectExtent l="0" t="0" r="7620" b="8255"/>
            <wp:docPr id="1546929450" name="Diagramm 1">
              <a:extLst xmlns:a="http://schemas.openxmlformats.org/drawingml/2006/main">
                <a:ext uri="{FF2B5EF4-FFF2-40B4-BE49-F238E27FC236}">
                  <a16:creationId xmlns:a16="http://schemas.microsoft.com/office/drawing/2014/main" id="{00000000-0008-0000-0100-00003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F950DE1" w14:textId="0FEA1AF2" w:rsidR="00EE4BC2" w:rsidRPr="00364988" w:rsidRDefault="00EE4BC2" w:rsidP="00364988">
      <w:pPr>
        <w:pStyle w:val="Mrkus"/>
      </w:pPr>
      <w:r w:rsidRPr="00364988">
        <w:t xml:space="preserve"> *seisuga </w:t>
      </w:r>
      <w:r w:rsidR="008D0029" w:rsidRPr="00364988">
        <w:t>31</w:t>
      </w:r>
      <w:r w:rsidRPr="00364988">
        <w:t>.</w:t>
      </w:r>
      <w:r w:rsidR="00EC32B8" w:rsidRPr="00364988">
        <w:t>0</w:t>
      </w:r>
      <w:r w:rsidR="008D0029" w:rsidRPr="00364988">
        <w:t>7</w:t>
      </w:r>
      <w:r w:rsidRPr="00364988">
        <w:t>.2</w:t>
      </w:r>
      <w:r w:rsidR="00EC32B8" w:rsidRPr="00364988">
        <w:t>3</w:t>
      </w:r>
    </w:p>
    <w:p w14:paraId="284A97A9" w14:textId="65F5AC72" w:rsidR="002306A1" w:rsidRPr="00414819" w:rsidRDefault="002306A1" w:rsidP="00EE4BC2">
      <w:pPr>
        <w:pStyle w:val="Caption"/>
        <w:rPr>
          <w:color w:val="3F4B4B" w:themeColor="accent3" w:themeShade="80"/>
          <w:highlight w:val="yellow"/>
        </w:rPr>
      </w:pPr>
      <w:r w:rsidRPr="00414819">
        <w:rPr>
          <w:color w:val="3F4B4B" w:themeColor="accent3" w:themeShade="80"/>
          <w:highlight w:val="yellow"/>
        </w:rPr>
        <w:br w:type="page"/>
      </w:r>
    </w:p>
    <w:p w14:paraId="6EE75065" w14:textId="77777777" w:rsidR="00F854C1" w:rsidRPr="005822EA" w:rsidRDefault="00F854C1" w:rsidP="00E66452">
      <w:pPr>
        <w:pStyle w:val="Numbritapealkiri"/>
      </w:pPr>
      <w:bookmarkStart w:id="299" w:name="_Toc143775515"/>
      <w:r w:rsidRPr="001D6947">
        <w:lastRenderedPageBreak/>
        <w:t>M</w:t>
      </w:r>
      <w:r w:rsidR="00DD497F" w:rsidRPr="001D6947">
        <w:t>ÄRKUSED</w:t>
      </w:r>
      <w:bookmarkEnd w:id="299"/>
    </w:p>
    <w:sectPr w:rsidR="00F854C1" w:rsidRPr="005822EA" w:rsidSect="00B56E1F">
      <w:endnotePr>
        <w:numFmt w:val="decimal"/>
      </w:endnotePr>
      <w:pgSz w:w="11906" w:h="16838"/>
      <w:pgMar w:top="964" w:right="964" w:bottom="96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80C01" w14:textId="77777777" w:rsidR="001E36BC" w:rsidRDefault="001E36BC" w:rsidP="00F854C1">
      <w:r>
        <w:separator/>
      </w:r>
    </w:p>
  </w:endnote>
  <w:endnote w:type="continuationSeparator" w:id="0">
    <w:p w14:paraId="289367DC" w14:textId="77777777" w:rsidR="001E36BC" w:rsidRDefault="001E36BC" w:rsidP="00F854C1">
      <w:r>
        <w:continuationSeparator/>
      </w:r>
    </w:p>
  </w:endnote>
  <w:endnote w:type="continuationNotice" w:id="1">
    <w:p w14:paraId="4F84D78C" w14:textId="77777777" w:rsidR="001E36BC" w:rsidRDefault="001E36BC">
      <w:pPr>
        <w:spacing w:after="0"/>
      </w:pPr>
    </w:p>
  </w:endnote>
  <w:endnote w:id="2">
    <w:p w14:paraId="6DA10B32" w14:textId="0B48826B" w:rsidR="00297BF5" w:rsidRDefault="00297BF5">
      <w:pPr>
        <w:pStyle w:val="EndnoteText"/>
      </w:pPr>
      <w:r>
        <w:rPr>
          <w:rStyle w:val="EndnoteReference"/>
        </w:rPr>
        <w:endnoteRef/>
      </w:r>
      <w:r>
        <w:t xml:space="preserve"> Rahandusministeeriumi ilmakaardi </w:t>
      </w:r>
      <w:r w:rsidRPr="00297BF5">
        <w:t>metoodika täpsem</w:t>
      </w:r>
      <w:r>
        <w:t xml:space="preserve">a kirjelduse võib leida </w:t>
      </w:r>
      <w:r w:rsidRPr="00297BF5">
        <w:t>2023. aasta kevadprognoosi seletuskirja Lisa</w:t>
      </w:r>
      <w:r>
        <w:t>s</w:t>
      </w:r>
      <w:r w:rsidRPr="00297BF5">
        <w:t xml:space="preserve"> 2</w:t>
      </w:r>
      <w:r>
        <w:t>.</w:t>
      </w:r>
    </w:p>
  </w:endnote>
  <w:endnote w:id="3">
    <w:p w14:paraId="15A9F6A4" w14:textId="77777777" w:rsidR="00257307" w:rsidRPr="00AE4CF3" w:rsidRDefault="00257307" w:rsidP="00257307">
      <w:pPr>
        <w:pStyle w:val="Phitekst"/>
        <w:rPr>
          <w:highlight w:val="cyan"/>
        </w:rPr>
      </w:pPr>
      <w:r w:rsidRPr="00FD2EB6">
        <w:rPr>
          <w:rStyle w:val="EndnoteReference"/>
        </w:rPr>
        <w:endnoteRef/>
      </w:r>
      <w:r w:rsidRPr="00FD2EB6">
        <w:t xml:space="preserve"> Maksuvaba tulu nihutamise all mõistame seda, et paljud inimesed ei kasuta jooksvalt oma maksuvaba tulu, vaid jätavad selle järgmisesse aastasse tuludeklaratsioonidel esitamiseks. Selline muudatus inimeste käitumises maksuvaba tulu mittekasutamisel tekkis koos 2018. aasta maksuvaba tulu reformiga. Peamiseks põhjuseks saab välja tuua inimeste ebakindluse oma aastatulude prognoosimisel. Töötajad, kes arvavad, et nende palk võib aasta jooksul tõusta või kes saavad lisatasusid, pigem kasutavad jooksvalt maksuvaba tulu vähem ning eelistavad saada enammakstud tulumaksu kord aastas tagasi ning mitte riskida kord aastas juurde maksmisega. 2022. aastal ulatus see edasilükatud maksuvaba tulu 150 mln euroni. Samas oli ka inimesi, kes kasutasid lubatust rohkem maksuvaba tulu, nende summa oli 2022. aastal 20 mln.</w:t>
      </w:r>
    </w:p>
  </w:endnote>
  <w:endnote w:id="4">
    <w:p w14:paraId="3467A461" w14:textId="77777777" w:rsidR="00257307" w:rsidRPr="00AE4CF3" w:rsidRDefault="00257307" w:rsidP="00257307">
      <w:pPr>
        <w:pStyle w:val="Phitekst"/>
        <w:rPr>
          <w:snapToGrid w:val="0"/>
          <w:highlight w:val="cyan"/>
        </w:rPr>
      </w:pPr>
      <w:r w:rsidRPr="00FD2EB6">
        <w:rPr>
          <w:rStyle w:val="EndnoteReference"/>
        </w:rPr>
        <w:endnoteRef/>
      </w:r>
      <w:r w:rsidRPr="00FD2EB6">
        <w:t xml:space="preserve"> Keskmine vanaduspension (eurot kuus 1. aprilli seisuga) on leitud 44-aastase staaži puhul (44 oli ligikaudu keskmine vanaduspensionäride osakute summa 2020. aastal). See sõltub pensioni baasosast, aastahindest ja pensioniindeksist, ega sõltu pensionäride arvust.</w:t>
      </w:r>
    </w:p>
  </w:endnote>
  <w:endnote w:id="5">
    <w:p w14:paraId="67FB80AC" w14:textId="77777777" w:rsidR="007D5584" w:rsidRDefault="007D5584" w:rsidP="007D5584">
      <w:pPr>
        <w:pStyle w:val="Phitekst"/>
      </w:pPr>
      <w:r>
        <w:rPr>
          <w:rStyle w:val="EndnoteReference"/>
        </w:rPr>
        <w:endnoteRef/>
      </w:r>
      <w:r>
        <w:t xml:space="preserve"> </w:t>
      </w:r>
      <w:r w:rsidRPr="002B6C9E">
        <w:t>Vahel tõlgitakse ka tegeliku või keskmise maksumäärana. Eelistatud mõiste on siiski efektiivne maksumäär, mis omab võrreldes teistega täpsemat tähendust.</w:t>
      </w:r>
    </w:p>
  </w:endnote>
  <w:endnote w:id="6">
    <w:p w14:paraId="4BEF4090" w14:textId="77777777" w:rsidR="00067816" w:rsidRDefault="00067816" w:rsidP="00067816">
      <w:pPr>
        <w:pStyle w:val="EndnoteText"/>
      </w:pPr>
      <w:r>
        <w:rPr>
          <w:rStyle w:val="EndnoteReference"/>
        </w:rPr>
        <w:endnoteRef/>
      </w:r>
      <w:r>
        <w:t xml:space="preserve"> </w:t>
      </w:r>
      <w:r w:rsidRPr="00486B68">
        <w:t>Valitsussektori investeeringud on üks osa valitsussektori lõpptarbimiskulutustest ja hõlmavad riigieelarve, kohalike omavalitsuste, Riigi Kinnisvara ASi, sotsiaalkindlustusfondide ning muu keskvalitsuse (sihtasutused, avalik-õiguslikud juriidilised isikud, äriühingud ja mittetulundusühingud) eelarvete vahendeid materiaalse ja immateriaalse põhivara soetamiseks ja renoveerimiseks ning IKT, sõidukite rendi, kaitseotstarbelise erivarustuse ja teadus- ja arendustegevuse majandamiskulusid.</w:t>
      </w:r>
    </w:p>
  </w:endnote>
  <w:endnote w:id="7">
    <w:p w14:paraId="4821E06F" w14:textId="77777777" w:rsidR="00E97738" w:rsidRPr="00D21F44" w:rsidRDefault="00E97738" w:rsidP="00E97738">
      <w:pPr>
        <w:pStyle w:val="Phitekst"/>
        <w:rPr>
          <w:snapToGrid w:val="0"/>
        </w:rPr>
      </w:pPr>
      <w:r>
        <w:rPr>
          <w:rStyle w:val="EndnoteReference"/>
        </w:rPr>
        <w:endnoteRef/>
      </w:r>
      <w:r>
        <w:t xml:space="preserve"> </w:t>
      </w:r>
      <w:r w:rsidRPr="00273CFE">
        <w:t>Maksukulude rahalise suuruse hindamisel on kasutatud kaotatava tulu meetodit ning kassapõhiseid andmeid, iga maksukulu sätte puhul on arvesse võetud sätte rakendamise ja tegeliku kohaldamise vaheline viitaeg. Hinnatud on ainult maksukulude kehtestamise nn esimese ringi efekte. Tulenevalt kaotatava tulu meetodi rakendamisest ei ole maksukulude väärtuste hindamisel arvestatud erinevate käitumuslike efektidega ning eelarvepiirangutega. Maksukulude väärtuste arvutamisel on oluline mõista, et iga üksikut maksukulu sätet on hinnatud eraldi, arvestamata eri sätete omavahelisi koosmõjusid, ning seetõttu ei ole maksukulude koondsumma leidmine erinevate sätete kokkuliitmise teel korrektne. Samas võimaldab see hinnata üldist trendi.</w:t>
      </w:r>
    </w:p>
  </w:endnote>
  <w:endnote w:id="8">
    <w:p w14:paraId="6FC7FF6C" w14:textId="77777777" w:rsidR="00E97738" w:rsidRDefault="00E97738" w:rsidP="00E97738">
      <w:pPr>
        <w:pStyle w:val="Phitekst"/>
      </w:pPr>
      <w:r w:rsidRPr="00191706">
        <w:rPr>
          <w:rStyle w:val="EndnoteReference"/>
        </w:rPr>
        <w:endnoteRef/>
      </w:r>
      <w:r w:rsidRPr="00191706">
        <w:rPr>
          <w:rStyle w:val="EndnoteReference"/>
        </w:rPr>
        <w:t xml:space="preserve"> </w:t>
      </w:r>
      <w:r w:rsidRPr="00D87705">
        <w:t>Statistikaamet. (2008d). Valitsemisfunktsioonide klassifikaator.</w:t>
      </w:r>
      <w:r w:rsidRPr="00273CFE">
        <w:t xml:space="preserve"> </w:t>
      </w:r>
      <w:hyperlink r:id="rId1" w:history="1">
        <w:r w:rsidRPr="00EC40E5">
          <w:rPr>
            <w:rStyle w:val="Hperlink1"/>
          </w:rPr>
          <w:t>http://metaweb.stat.ee/view_xml.htm?id=1129771&amp;siteLanguage=ee</w:t>
        </w:r>
      </w:hyperlink>
    </w:p>
  </w:endnote>
  <w:endnote w:id="9">
    <w:p w14:paraId="3D309727" w14:textId="77777777" w:rsidR="005D0ADE" w:rsidRDefault="005D0ADE" w:rsidP="005D0ADE">
      <w:pPr>
        <w:pStyle w:val="EndnoteText"/>
      </w:pPr>
      <w:r>
        <w:rPr>
          <w:rStyle w:val="EndnoteReference"/>
        </w:rPr>
        <w:endnoteRef/>
      </w:r>
      <w:r>
        <w:t xml:space="preserve"> Euroopa Nõukogu Arengupank </w:t>
      </w:r>
      <w:r w:rsidRPr="007652BF">
        <w:t>(CEB);</w:t>
      </w:r>
      <w:r>
        <w:rPr>
          <w:rFonts w:ascii="Tahoma" w:hAnsi="Tahoma" w:cs="Tahoma"/>
          <w:color w:val="333333"/>
          <w:sz w:val="21"/>
          <w:szCs w:val="21"/>
          <w:shd w:val="clear" w:color="auto" w:fill="FFFFFF"/>
        </w:rPr>
        <w:t xml:space="preserve"> </w:t>
      </w:r>
      <w:r>
        <w:t>Euroopa Investeerimispank (EIB)</w:t>
      </w:r>
    </w:p>
  </w:endnote>
  <w:endnote w:id="10">
    <w:p w14:paraId="1F2F0F56" w14:textId="77777777" w:rsidR="005D0ADE" w:rsidRDefault="005D0ADE" w:rsidP="005D0ADE">
      <w:pPr>
        <w:pStyle w:val="EndnoteText"/>
      </w:pPr>
      <w:r>
        <w:rPr>
          <w:rStyle w:val="EndnoteReference"/>
        </w:rPr>
        <w:endnoteRef/>
      </w:r>
      <w:r>
        <w:t xml:space="preserve"> </w:t>
      </w:r>
      <w:r w:rsidRPr="00565D21">
        <w:t>Põhjamaade Investeerimispank (NIB)</w:t>
      </w:r>
    </w:p>
  </w:endnote>
  <w:endnote w:id="11">
    <w:p w14:paraId="10A408DD" w14:textId="77777777" w:rsidR="00070CC1" w:rsidRDefault="00070CC1" w:rsidP="00070CC1">
      <w:pPr>
        <w:pStyle w:val="Phitekst"/>
      </w:pPr>
      <w:r>
        <w:rPr>
          <w:rStyle w:val="EndnoteReference"/>
        </w:rPr>
        <w:endnoteRef/>
      </w:r>
      <w:r>
        <w:t xml:space="preserve"> Keskvalitsuse likviidsed finantsvarad kajastatakse raamatupidamisliku metoodika alusel (alates 2019. aasta kevadisest majandusprognoosist) ning lähtub riigi majandusaasta aruandest. Sotsiaalkindlustusfondide raha, mida hoitakse riigikassas elimineeritakse valitsussektori siseselt ning seega ei kajastu keskvalitsuse likviidsetes varades.</w:t>
      </w:r>
    </w:p>
  </w:endnote>
  <w:endnote w:id="12">
    <w:p w14:paraId="3449DF1F" w14:textId="77777777" w:rsidR="001E36BC" w:rsidRPr="00566663" w:rsidRDefault="001E36BC" w:rsidP="00AB2C28">
      <w:pPr>
        <w:pStyle w:val="Phitekst"/>
        <w:rPr>
          <w:snapToGrid w:val="0"/>
        </w:rPr>
      </w:pPr>
      <w:r>
        <w:rPr>
          <w:rStyle w:val="EndnoteReference"/>
        </w:rPr>
        <w:endnoteRef/>
      </w:r>
      <w:r>
        <w:t xml:space="preserve"> </w:t>
      </w:r>
      <w:r w:rsidRPr="005C120E">
        <w:t>Valitsemisfunktsioonid: 1. üldised valitsussektori tegevused; 2. riigikaitse; 3. avalik kord ja julgeolek; 4. majandus; 5. keskkonnakaitse; 6. elamu- ja kommunaalmajandus; 7. tervishoid; 8. vaba aeg, kultuur ja religioon; 9. haridus; 10. sotsiaalne kaitse.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Condensed">
    <w:panose1 w:val="02000000000000000000"/>
    <w:charset w:val="BA"/>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 w:name="Roboto">
    <w:panose1 w:val="02000000000000000000"/>
    <w:charset w:val="BA"/>
    <w:family w:val="auto"/>
    <w:pitch w:val="variable"/>
    <w:sig w:usb0="E00002FF" w:usb1="5000205B" w:usb2="00000020" w:usb3="00000000" w:csb0="0000019F" w:csb1="00000000"/>
  </w:font>
  <w:font w:name="Georgia">
    <w:panose1 w:val="02040502050405020303"/>
    <w:charset w:val="BA"/>
    <w:family w:val="roman"/>
    <w:pitch w:val="variable"/>
    <w:sig w:usb0="00000287" w:usb1="00000000" w:usb2="00000000" w:usb3="00000000" w:csb0="0000009F" w:csb1="00000000"/>
  </w:font>
  <w:font w:name="Segoe UI Light">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emilight">
    <w:panose1 w:val="020B04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E1434" w14:textId="71FF15D6" w:rsidR="001E36BC" w:rsidRPr="00913110" w:rsidRDefault="001E36BC">
    <w:pPr>
      <w:pStyle w:val="Footer"/>
      <w:rPr>
        <w:color w:val="806A00" w:themeColor="accent2" w:themeShade="80"/>
      </w:rPr>
    </w:pPr>
    <w:r w:rsidRPr="00913110">
      <w:rPr>
        <w:color w:val="806A00" w:themeColor="accent2" w:themeShade="80"/>
      </w:rPr>
      <w:ptab w:relativeTo="margin" w:alignment="center" w:leader="none"/>
    </w:r>
    <w:r w:rsidRPr="000C2ABA">
      <w:rPr>
        <w:color w:val="806A00" w:themeColor="accent2" w:themeShade="80"/>
      </w:rPr>
      <w:t xml:space="preserve"> </w:t>
    </w:r>
    <w:r w:rsidRPr="000C2ABA">
      <w:rPr>
        <w:rFonts w:ascii="Roboto Condensed" w:hAnsi="Roboto Condensed"/>
        <w:color w:val="806A00" w:themeColor="accent2" w:themeShade="80"/>
      </w:rPr>
      <w:fldChar w:fldCharType="begin"/>
    </w:r>
    <w:r w:rsidRPr="00A31A9C">
      <w:instrText>PAGE    \* MERGEFORMAT</w:instrText>
    </w:r>
    <w:r w:rsidRPr="000C2ABA">
      <w:rPr>
        <w:rFonts w:asciiTheme="majorHAnsi" w:hAnsiTheme="majorHAnsi"/>
        <w:color w:val="806A00" w:themeColor="accent2" w:themeShade="80"/>
      </w:rPr>
      <w:fldChar w:fldCharType="separate"/>
    </w:r>
    <w:r>
      <w:rPr>
        <w:noProof/>
      </w:rPr>
      <w:t>15</w:t>
    </w:r>
    <w:r w:rsidRPr="000C2ABA">
      <w:rPr>
        <w:rFonts w:asciiTheme="majorHAnsi" w:hAnsiTheme="majorHAnsi"/>
        <w:color w:val="806A00" w:themeColor="accent2" w:themeShade="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3CA1" w14:textId="77777777" w:rsidR="001E36BC" w:rsidRPr="00913110" w:rsidRDefault="001E36BC" w:rsidP="005031E9">
    <w:pPr>
      <w:pStyle w:val="Footer"/>
      <w:rPr>
        <w:color w:val="806A00" w:themeColor="accent2" w:themeShade="80"/>
      </w:rPr>
    </w:pPr>
  </w:p>
  <w:p w14:paraId="41C6DA2F" w14:textId="77777777" w:rsidR="001E36BC" w:rsidRDefault="001E36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1882" w14:textId="6B8E5071" w:rsidR="001E36BC" w:rsidRPr="00BF42B0" w:rsidRDefault="001E36BC" w:rsidP="00F404E2">
    <w:pPr>
      <w:pStyle w:val="Rhutus1"/>
      <w:jc w:val="center"/>
    </w:pPr>
    <w:r w:rsidRPr="00F404E2">
      <w:fldChar w:fldCharType="begin"/>
    </w:r>
    <w:r w:rsidRPr="00F404E2">
      <w:instrText>PAGE    \* MERGEFORMAT</w:instrText>
    </w:r>
    <w:r w:rsidRPr="00F404E2">
      <w:fldChar w:fldCharType="separate"/>
    </w:r>
    <w:r>
      <w:rPr>
        <w:noProof/>
      </w:rPr>
      <w:t>16</w:t>
    </w:r>
    <w:r w:rsidRPr="00F404E2">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6B9F6" w14:textId="77777777" w:rsidR="001E36BC" w:rsidRPr="00913110" w:rsidRDefault="001E36BC" w:rsidP="005031E9">
    <w:pPr>
      <w:pStyle w:val="Footer"/>
      <w:rPr>
        <w:color w:val="806A00" w:themeColor="accent2" w:themeShade="80"/>
      </w:rPr>
    </w:pPr>
  </w:p>
  <w:p w14:paraId="75C8E47C" w14:textId="77777777" w:rsidR="001E36BC" w:rsidRDefault="001E36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E258" w14:textId="0122C8F8" w:rsidR="001E36BC" w:rsidRPr="000C2ABA" w:rsidRDefault="001E36BC" w:rsidP="00A31A9C">
    <w:pPr>
      <w:pStyle w:val="Footer"/>
      <w:rPr>
        <w:color w:val="806A00" w:themeColor="accent2" w:themeShade="80"/>
      </w:rPr>
    </w:pPr>
    <w:r w:rsidRPr="000C2ABA">
      <w:ptab w:relativeTo="margin" w:alignment="center" w:leader="none"/>
    </w:r>
    <w:r w:rsidRPr="00BF42B0">
      <w:rPr>
        <w:rStyle w:val="RhutusChar"/>
        <w:bCs/>
      </w:rPr>
      <w:t xml:space="preserve"> </w:t>
    </w:r>
    <w:r w:rsidRPr="00BF42B0">
      <w:rPr>
        <w:rStyle w:val="RhutusChar"/>
        <w:bCs/>
      </w:rPr>
      <w:fldChar w:fldCharType="begin"/>
    </w:r>
    <w:r w:rsidRPr="00BF42B0">
      <w:rPr>
        <w:rStyle w:val="RhutusChar"/>
        <w:bCs/>
      </w:rPr>
      <w:instrText>PAGE    \* MERGEFORMAT</w:instrText>
    </w:r>
    <w:r w:rsidRPr="00BF42B0">
      <w:rPr>
        <w:rStyle w:val="RhutusChar"/>
        <w:bCs/>
      </w:rPr>
      <w:fldChar w:fldCharType="separate"/>
    </w:r>
    <w:r>
      <w:rPr>
        <w:rStyle w:val="RhutusChar"/>
        <w:bCs/>
        <w:noProof/>
      </w:rPr>
      <w:t>18</w:t>
    </w:r>
    <w:r w:rsidRPr="00BF42B0">
      <w:rPr>
        <w:rStyle w:val="RhutusChar"/>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DB216" w14:textId="77777777" w:rsidR="001E36BC" w:rsidRPr="00913110" w:rsidRDefault="001E36BC" w:rsidP="005031E9">
    <w:pPr>
      <w:pStyle w:val="Footer"/>
      <w:rPr>
        <w:color w:val="806A00" w:themeColor="accent2" w:themeShade="80"/>
      </w:rPr>
    </w:pPr>
  </w:p>
  <w:p w14:paraId="2875AC04" w14:textId="77777777" w:rsidR="001E36BC" w:rsidRDefault="001E36B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6570C" w14:textId="266DA628" w:rsidR="001E36BC" w:rsidRPr="00BF42B0" w:rsidRDefault="001E36BC" w:rsidP="00BF42B0">
    <w:pPr>
      <w:pStyle w:val="Rhutus1"/>
      <w:jc w:val="center"/>
    </w:pPr>
    <w:r w:rsidRPr="00BF42B0">
      <w:rPr>
        <w:rFonts w:eastAsiaTheme="minorEastAsia"/>
      </w:rPr>
      <w:fldChar w:fldCharType="begin"/>
    </w:r>
    <w:r w:rsidRPr="00BF42B0">
      <w:instrText>PAGE    \* MERGEFORMAT</w:instrText>
    </w:r>
    <w:r w:rsidRPr="00BF42B0">
      <w:rPr>
        <w:rFonts w:eastAsiaTheme="minorEastAsia"/>
      </w:rPr>
      <w:fldChar w:fldCharType="separate"/>
    </w:r>
    <w:r w:rsidRPr="00A2717C">
      <w:rPr>
        <w:rFonts w:eastAsiaTheme="majorEastAsia" w:cstheme="majorBidi"/>
        <w:noProof/>
      </w:rPr>
      <w:t>19</w:t>
    </w:r>
    <w:r w:rsidRPr="00BF42B0">
      <w:rPr>
        <w:rFonts w:eastAsiaTheme="majorEastAsia" w:cstheme="majorBidi"/>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DCC97" w14:textId="77777777" w:rsidR="001E36BC" w:rsidRPr="00913110" w:rsidRDefault="001E36BC" w:rsidP="005031E9">
    <w:pPr>
      <w:pStyle w:val="Footer"/>
      <w:rPr>
        <w:color w:val="806A00" w:themeColor="accent2" w:themeShade="80"/>
      </w:rPr>
    </w:pPr>
  </w:p>
  <w:p w14:paraId="7CAE68FC" w14:textId="77777777" w:rsidR="001E36BC" w:rsidRDefault="001E36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849E2" w14:textId="6F9E3F23" w:rsidR="001E36BC" w:rsidRPr="00BF42B0" w:rsidRDefault="001E36BC" w:rsidP="00BF42B0">
    <w:pPr>
      <w:pStyle w:val="Rhutus1"/>
      <w:jc w:val="center"/>
    </w:pPr>
    <w:r w:rsidRPr="00BF42B0">
      <w:rPr>
        <w:rFonts w:eastAsiaTheme="minorEastAsia"/>
      </w:rPr>
      <w:fldChar w:fldCharType="begin"/>
    </w:r>
    <w:r w:rsidRPr="00BF42B0">
      <w:instrText>PAGE    \* MERGEFORMAT</w:instrText>
    </w:r>
    <w:r w:rsidRPr="00BF42B0">
      <w:rPr>
        <w:rFonts w:eastAsiaTheme="minorEastAsia"/>
      </w:rPr>
      <w:fldChar w:fldCharType="separate"/>
    </w:r>
    <w:r w:rsidRPr="00A2717C">
      <w:rPr>
        <w:rFonts w:eastAsiaTheme="majorEastAsia" w:cstheme="majorBidi"/>
        <w:noProof/>
      </w:rPr>
      <w:t>21</w:t>
    </w:r>
    <w:r w:rsidRPr="00BF42B0">
      <w:rPr>
        <w:rFonts w:eastAsiaTheme="majorEastAsia" w:cstheme="majorBidi"/>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DD89" w14:textId="77777777" w:rsidR="001E36BC" w:rsidRPr="00913110" w:rsidRDefault="001E36BC" w:rsidP="005031E9">
    <w:pPr>
      <w:pStyle w:val="Footer"/>
      <w:rPr>
        <w:color w:val="806A00" w:themeColor="accent2" w:themeShade="80"/>
      </w:rPr>
    </w:pPr>
  </w:p>
  <w:p w14:paraId="0B03A0F2" w14:textId="77777777" w:rsidR="001E36BC" w:rsidRDefault="001E36B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CA6FE" w14:textId="1FD2F099" w:rsidR="001E36BC" w:rsidRPr="00913110" w:rsidRDefault="001E36BC">
    <w:pPr>
      <w:pStyle w:val="Footer"/>
      <w:rPr>
        <w:color w:val="806A00" w:themeColor="accent2" w:themeShade="80"/>
      </w:rPr>
    </w:pPr>
    <w:r w:rsidRPr="00913110">
      <w:rPr>
        <w:color w:val="806A00" w:themeColor="accent2" w:themeShade="80"/>
      </w:rPr>
      <w:ptab w:relativeTo="margin" w:alignment="center" w:leader="none"/>
    </w:r>
    <w:r w:rsidRPr="00913110">
      <w:rPr>
        <w:color w:val="806A00" w:themeColor="accent2" w:themeShade="80"/>
      </w:rPr>
      <w:t xml:space="preserve"> </w:t>
    </w:r>
    <w:r w:rsidRPr="00913110">
      <w:rPr>
        <w:rFonts w:asciiTheme="majorHAnsi" w:eastAsiaTheme="majorEastAsia" w:hAnsiTheme="majorHAnsi" w:cstheme="majorBidi"/>
        <w:color w:val="806A00" w:themeColor="accent2" w:themeShade="80"/>
        <w:szCs w:val="20"/>
      </w:rPr>
      <w:t xml:space="preserve">Lk </w:t>
    </w:r>
    <w:r w:rsidRPr="00913110">
      <w:rPr>
        <w:rFonts w:ascii="Roboto Condensed" w:eastAsiaTheme="minorEastAsia" w:hAnsi="Roboto Condensed"/>
        <w:color w:val="806A00" w:themeColor="accent2" w:themeShade="80"/>
        <w:szCs w:val="20"/>
      </w:rPr>
      <w:fldChar w:fldCharType="begin"/>
    </w:r>
    <w:r w:rsidRPr="00913110">
      <w:rPr>
        <w:color w:val="806A00" w:themeColor="accent2" w:themeShade="80"/>
        <w:szCs w:val="20"/>
      </w:rPr>
      <w:instrText>PAGE    \* MERGEFORMAT</w:instrText>
    </w:r>
    <w:r w:rsidRPr="00913110">
      <w:rPr>
        <w:rFonts w:ascii="Roboto Condensed" w:eastAsiaTheme="minorEastAsia" w:hAnsi="Roboto Condensed"/>
        <w:color w:val="806A00" w:themeColor="accent2" w:themeShade="80"/>
        <w:szCs w:val="20"/>
      </w:rPr>
      <w:fldChar w:fldCharType="separate"/>
    </w:r>
    <w:r w:rsidRPr="00671164">
      <w:rPr>
        <w:rFonts w:asciiTheme="majorHAnsi" w:eastAsiaTheme="majorEastAsia" w:hAnsiTheme="majorHAnsi" w:cstheme="majorBidi"/>
        <w:noProof/>
        <w:color w:val="806A00" w:themeColor="accent2" w:themeShade="80"/>
        <w:szCs w:val="20"/>
      </w:rPr>
      <w:t>23</w:t>
    </w:r>
    <w:r w:rsidRPr="00913110">
      <w:rPr>
        <w:rFonts w:asciiTheme="majorHAnsi" w:eastAsiaTheme="majorEastAsia" w:hAnsiTheme="majorHAnsi" w:cstheme="majorBidi"/>
        <w:color w:val="806A00" w:themeColor="accent2" w:themeShade="8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8D03" w14:textId="77777777" w:rsidR="001E36BC" w:rsidRPr="00BF42B0" w:rsidRDefault="001E36BC" w:rsidP="00F404E2">
    <w:pPr>
      <w:pStyle w:val="Rhutus1"/>
      <w:jc w:val="center"/>
    </w:pPr>
    <w:r w:rsidRPr="00F404E2">
      <w:fldChar w:fldCharType="begin"/>
    </w:r>
    <w:r w:rsidRPr="00F404E2">
      <w:instrText>PAGE    \* MERGEFORMAT</w:instrText>
    </w:r>
    <w:r w:rsidRPr="00F404E2">
      <w:fldChar w:fldCharType="separate"/>
    </w:r>
    <w:r>
      <w:rPr>
        <w:noProof/>
      </w:rPr>
      <w:t>24</w:t>
    </w:r>
    <w:r w:rsidRPr="00F404E2">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DEAB" w14:textId="77777777" w:rsidR="001E36BC" w:rsidRPr="00913110" w:rsidRDefault="001E36BC" w:rsidP="005031E9">
    <w:pPr>
      <w:pStyle w:val="Footer"/>
      <w:rPr>
        <w:color w:val="806A00" w:themeColor="accent2" w:themeShade="80"/>
      </w:rPr>
    </w:pPr>
  </w:p>
  <w:p w14:paraId="623FFE9E" w14:textId="77777777" w:rsidR="001E36BC" w:rsidRDefault="001E36B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2D9F9" w14:textId="1AFCA6CE" w:rsidR="001E36BC" w:rsidRPr="00204A39" w:rsidRDefault="001E36BC" w:rsidP="001D45D8">
    <w:pPr>
      <w:pStyle w:val="Footer"/>
    </w:pPr>
    <w:r w:rsidRPr="000C2ABA">
      <w:rPr>
        <w:color w:val="806A00" w:themeColor="accent2" w:themeShade="80"/>
      </w:rPr>
      <w:ptab w:relativeTo="margin" w:alignment="center" w:leader="none"/>
    </w:r>
    <w:r w:rsidRPr="000C2ABA">
      <w:rPr>
        <w:color w:val="806A00" w:themeColor="accent2" w:themeShade="80"/>
      </w:rPr>
      <w:t xml:space="preserve"> </w:t>
    </w:r>
    <w:r w:rsidRPr="00204A39">
      <w:fldChar w:fldCharType="begin"/>
    </w:r>
    <w:r w:rsidRPr="001D45D8">
      <w:instrText>PAGE    \* MERGEFORMAT</w:instrText>
    </w:r>
    <w:r w:rsidRPr="00204A39">
      <w:fldChar w:fldCharType="separate"/>
    </w:r>
    <w:r>
      <w:rPr>
        <w:noProof/>
      </w:rPr>
      <w:t>24</w:t>
    </w:r>
    <w:r w:rsidRPr="00204A39">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041A3" w14:textId="5C6ECC40" w:rsidR="001E36BC" w:rsidRPr="00BF42B0" w:rsidRDefault="001E36BC" w:rsidP="00F404E2">
    <w:pPr>
      <w:pStyle w:val="Rhutus1"/>
      <w:jc w:val="center"/>
    </w:pPr>
    <w:r w:rsidRPr="00F404E2">
      <w:fldChar w:fldCharType="begin"/>
    </w:r>
    <w:r w:rsidRPr="00F404E2">
      <w:instrText>PAGE    \* MERGEFORMAT</w:instrText>
    </w:r>
    <w:r w:rsidRPr="00F404E2">
      <w:fldChar w:fldCharType="separate"/>
    </w:r>
    <w:r>
      <w:rPr>
        <w:noProof/>
      </w:rPr>
      <w:t>34</w:t>
    </w:r>
    <w:r w:rsidRPr="00F404E2">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69FF" w14:textId="77777777" w:rsidR="001E36BC" w:rsidRPr="00913110" w:rsidRDefault="001E36BC" w:rsidP="005031E9">
    <w:pPr>
      <w:pStyle w:val="Footer"/>
      <w:rPr>
        <w:color w:val="806A00" w:themeColor="accent2" w:themeShade="80"/>
      </w:rPr>
    </w:pPr>
  </w:p>
  <w:p w14:paraId="377C2A16" w14:textId="77777777" w:rsidR="001E36BC" w:rsidRDefault="001E36B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04925" w14:textId="77777777" w:rsidR="00E97738" w:rsidRPr="00BF42B0" w:rsidRDefault="00E97738" w:rsidP="00BF42B0">
    <w:pPr>
      <w:pStyle w:val="Rhutus1"/>
      <w:jc w:val="center"/>
    </w:pPr>
    <w:r w:rsidRPr="00BF42B0">
      <w:rPr>
        <w:rFonts w:eastAsiaTheme="minorEastAsia"/>
      </w:rPr>
      <w:fldChar w:fldCharType="begin"/>
    </w:r>
    <w:r w:rsidRPr="00BF42B0">
      <w:instrText>PAGE    \* MERGEFORMAT</w:instrText>
    </w:r>
    <w:r w:rsidRPr="00BF42B0">
      <w:rPr>
        <w:rFonts w:eastAsiaTheme="minorEastAsia"/>
      </w:rPr>
      <w:fldChar w:fldCharType="separate"/>
    </w:r>
    <w:r w:rsidRPr="00334B3C">
      <w:rPr>
        <w:rFonts w:eastAsiaTheme="majorEastAsia" w:cstheme="majorBidi"/>
        <w:noProof/>
      </w:rPr>
      <w:t>1</w:t>
    </w:r>
    <w:r w:rsidRPr="00BF42B0">
      <w:rPr>
        <w:rFonts w:eastAsiaTheme="majorEastAsia" w:cstheme="majorBidi"/>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A7A99" w14:textId="77777777" w:rsidR="00E97738" w:rsidRPr="00913110" w:rsidRDefault="00E97738" w:rsidP="005031E9">
    <w:pPr>
      <w:pStyle w:val="Footer"/>
      <w:rPr>
        <w:color w:val="806A00" w:themeColor="accent2" w:themeShade="80"/>
      </w:rPr>
    </w:pPr>
  </w:p>
  <w:p w14:paraId="727DFEAB" w14:textId="77777777" w:rsidR="00E97738" w:rsidRDefault="00E9773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FFD1" w14:textId="77777777" w:rsidR="00672FDF" w:rsidRPr="0001206D" w:rsidRDefault="00672FDF">
    <w:pPr>
      <w:pStyle w:val="Footer"/>
      <w:rPr>
        <w:color w:val="833C0B"/>
      </w:rPr>
    </w:pPr>
    <w:r w:rsidRPr="0001206D">
      <w:rPr>
        <w:color w:val="833C0B"/>
      </w:rPr>
      <w:ptab w:relativeTo="margin" w:alignment="center" w:leader="none"/>
    </w:r>
    <w:r w:rsidRPr="0001206D">
      <w:rPr>
        <w:color w:val="833C0B"/>
      </w:rPr>
      <w:t xml:space="preserve"> </w:t>
    </w:r>
    <w:r w:rsidRPr="0001206D">
      <w:rPr>
        <w:rFonts w:ascii="Calibri Light" w:eastAsia="Times New Roman" w:hAnsi="Calibri Light" w:cs="Times New Roman"/>
        <w:color w:val="833C0B"/>
        <w:szCs w:val="20"/>
      </w:rPr>
      <w:t xml:space="preserve">Lk </w:t>
    </w:r>
    <w:r w:rsidRPr="0001206D">
      <w:rPr>
        <w:rFonts w:ascii="Calibri" w:eastAsia="Times New Roman" w:hAnsi="Calibri"/>
        <w:color w:val="833C0B"/>
        <w:szCs w:val="20"/>
      </w:rPr>
      <w:fldChar w:fldCharType="begin"/>
    </w:r>
    <w:r w:rsidRPr="0001206D">
      <w:rPr>
        <w:color w:val="833C0B"/>
        <w:szCs w:val="20"/>
      </w:rPr>
      <w:instrText>PAGE    \* MERGEFORMAT</w:instrText>
    </w:r>
    <w:r w:rsidRPr="0001206D">
      <w:rPr>
        <w:rFonts w:ascii="Calibri" w:eastAsia="Times New Roman" w:hAnsi="Calibri"/>
        <w:color w:val="833C0B"/>
        <w:szCs w:val="20"/>
      </w:rPr>
      <w:fldChar w:fldCharType="separate"/>
    </w:r>
    <w:r w:rsidRPr="0001206D">
      <w:rPr>
        <w:rFonts w:ascii="Calibri Light" w:eastAsia="Times New Roman" w:hAnsi="Calibri Light" w:cs="Times New Roman"/>
        <w:noProof/>
        <w:color w:val="833C0B"/>
        <w:szCs w:val="20"/>
      </w:rPr>
      <w:t>31</w:t>
    </w:r>
    <w:r w:rsidRPr="0001206D">
      <w:rPr>
        <w:rFonts w:ascii="Calibri Light" w:eastAsia="Times New Roman" w:hAnsi="Calibri Light" w:cs="Times New Roman"/>
        <w:color w:val="833C0B"/>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EF1E" w14:textId="77777777" w:rsidR="00E97738" w:rsidRPr="00913110" w:rsidRDefault="00E97738">
    <w:pPr>
      <w:pStyle w:val="Footer"/>
      <w:rPr>
        <w:color w:val="806A00" w:themeColor="accent2" w:themeShade="80"/>
      </w:rPr>
    </w:pPr>
    <w:r w:rsidRPr="00913110">
      <w:rPr>
        <w:color w:val="806A00" w:themeColor="accent2" w:themeShade="80"/>
      </w:rPr>
      <w:ptab w:relativeTo="margin" w:alignment="center" w:leader="none"/>
    </w:r>
    <w:r w:rsidRPr="00913110">
      <w:rPr>
        <w:color w:val="806A00" w:themeColor="accent2" w:themeShade="80"/>
      </w:rPr>
      <w:t xml:space="preserve"> </w:t>
    </w:r>
    <w:r w:rsidRPr="00913110">
      <w:rPr>
        <w:rFonts w:asciiTheme="majorHAnsi" w:eastAsiaTheme="majorEastAsia" w:hAnsiTheme="majorHAnsi" w:cstheme="majorBidi"/>
        <w:color w:val="806A00" w:themeColor="accent2" w:themeShade="80"/>
        <w:szCs w:val="20"/>
      </w:rPr>
      <w:t xml:space="preserve">Lk </w:t>
    </w:r>
    <w:r w:rsidRPr="00913110">
      <w:rPr>
        <w:rFonts w:ascii="Roboto Condensed" w:eastAsiaTheme="minorEastAsia" w:hAnsi="Roboto Condensed"/>
        <w:color w:val="806A00" w:themeColor="accent2" w:themeShade="80"/>
        <w:szCs w:val="20"/>
      </w:rPr>
      <w:fldChar w:fldCharType="begin"/>
    </w:r>
    <w:r w:rsidRPr="00913110">
      <w:rPr>
        <w:color w:val="806A00" w:themeColor="accent2" w:themeShade="80"/>
        <w:szCs w:val="20"/>
      </w:rPr>
      <w:instrText>PAGE    \* MERGEFORMAT</w:instrText>
    </w:r>
    <w:r w:rsidRPr="00913110">
      <w:rPr>
        <w:rFonts w:ascii="Roboto Condensed" w:eastAsiaTheme="minorEastAsia" w:hAnsi="Roboto Condensed"/>
        <w:color w:val="806A00" w:themeColor="accent2" w:themeShade="80"/>
        <w:szCs w:val="20"/>
      </w:rPr>
      <w:fldChar w:fldCharType="separate"/>
    </w:r>
    <w:r w:rsidRPr="00334B3C">
      <w:rPr>
        <w:rFonts w:asciiTheme="majorHAnsi" w:eastAsiaTheme="majorEastAsia" w:hAnsiTheme="majorHAnsi" w:cstheme="majorBidi"/>
        <w:noProof/>
        <w:color w:val="806A00" w:themeColor="accent2" w:themeShade="80"/>
        <w:szCs w:val="20"/>
      </w:rPr>
      <w:t>2</w:t>
    </w:r>
    <w:r w:rsidRPr="00913110">
      <w:rPr>
        <w:rFonts w:asciiTheme="majorHAnsi" w:eastAsiaTheme="majorEastAsia" w:hAnsiTheme="majorHAnsi" w:cstheme="majorBidi"/>
        <w:color w:val="806A00" w:themeColor="accent2" w:themeShade="80"/>
        <w:szCs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ECD57" w14:textId="77777777" w:rsidR="00E97738" w:rsidRPr="00204A39" w:rsidRDefault="00E97738" w:rsidP="001D45D8">
    <w:pPr>
      <w:pStyle w:val="Footer"/>
    </w:pPr>
    <w:r w:rsidRPr="001E5B9D">
      <w:rPr>
        <w:color w:val="833C0B"/>
      </w:rPr>
      <w:ptab w:relativeTo="margin" w:alignment="center" w:leader="none"/>
    </w:r>
    <w:r w:rsidRPr="001E5B9D">
      <w:rPr>
        <w:color w:val="833C0B"/>
      </w:rPr>
      <w:t xml:space="preserve"> </w:t>
    </w:r>
    <w:r w:rsidRPr="00204A39">
      <w:fldChar w:fldCharType="begin"/>
    </w:r>
    <w:r w:rsidRPr="001D45D8">
      <w:instrText>PAGE    \* MERGEFORMAT</w:instrText>
    </w:r>
    <w:r w:rsidRPr="00204A39">
      <w:fldChar w:fldCharType="separate"/>
    </w:r>
    <w:r>
      <w:rPr>
        <w:noProof/>
      </w:rPr>
      <w:t>40</w:t>
    </w:r>
    <w:r w:rsidRPr="00204A39">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14EB6" w14:textId="77777777" w:rsidR="00727901" w:rsidRPr="00204A39" w:rsidRDefault="00727901" w:rsidP="001D45D8">
    <w:pPr>
      <w:pStyle w:val="Footer"/>
    </w:pPr>
    <w:r w:rsidRPr="001E5B9D">
      <w:rPr>
        <w:color w:val="833C0B"/>
      </w:rPr>
      <w:ptab w:relativeTo="margin" w:alignment="center" w:leader="none"/>
    </w:r>
    <w:r w:rsidRPr="001E5B9D">
      <w:rPr>
        <w:color w:val="833C0B"/>
      </w:rPr>
      <w:t xml:space="preserve"> </w:t>
    </w:r>
    <w:r w:rsidRPr="00204A39">
      <w:fldChar w:fldCharType="begin"/>
    </w:r>
    <w:r w:rsidRPr="001D45D8">
      <w:instrText>PAGE    \* MERGEFORMAT</w:instrText>
    </w:r>
    <w:r w:rsidRPr="00204A39">
      <w:fldChar w:fldCharType="separate"/>
    </w:r>
    <w:r>
      <w:rPr>
        <w:noProof/>
      </w:rPr>
      <w:t>40</w:t>
    </w:r>
    <w:r w:rsidRPr="00204A3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30C7B" w14:textId="77777777" w:rsidR="001E36BC" w:rsidRDefault="001E36BC" w:rsidP="00F854C1">
      <w:r>
        <w:separator/>
      </w:r>
    </w:p>
  </w:footnote>
  <w:footnote w:type="continuationSeparator" w:id="0">
    <w:p w14:paraId="04A2F078" w14:textId="77777777" w:rsidR="001E36BC" w:rsidRDefault="001E36BC" w:rsidP="00F854C1">
      <w:r>
        <w:continuationSeparator/>
      </w:r>
    </w:p>
  </w:footnote>
  <w:footnote w:type="continuationNotice" w:id="1">
    <w:p w14:paraId="045E6F6B" w14:textId="77777777" w:rsidR="001E36BC" w:rsidRDefault="001E36BC">
      <w:pPr>
        <w:spacing w:after="0"/>
      </w:pPr>
    </w:p>
  </w:footnote>
  <w:footnote w:id="2">
    <w:p w14:paraId="0130D347" w14:textId="77777777" w:rsidR="001E36BC" w:rsidRDefault="001E36BC" w:rsidP="00F470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10991"/>
    <w:multiLevelType w:val="multilevel"/>
    <w:tmpl w:val="E6DC0476"/>
    <w:lvl w:ilvl="0">
      <w:start w:val="1"/>
      <w:numFmt w:val="decimal"/>
      <w:pStyle w:val="Heading1"/>
      <w:lvlText w:val="%1"/>
      <w:lvlJc w:val="left"/>
      <w:pPr>
        <w:ind w:left="432" w:hanging="432"/>
      </w:pPr>
      <w:rPr>
        <w:rFonts w:hint="default"/>
        <w:b/>
        <w:i w:val="0"/>
        <w:color w:val="006EB5"/>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B390EE3"/>
    <w:multiLevelType w:val="hybridMultilevel"/>
    <w:tmpl w:val="74E62F8A"/>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309F0767"/>
    <w:multiLevelType w:val="hybridMultilevel"/>
    <w:tmpl w:val="7700D4A8"/>
    <w:lvl w:ilvl="0" w:tplc="9856C2B6">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2326525"/>
    <w:multiLevelType w:val="multilevel"/>
    <w:tmpl w:val="A5CE6CB2"/>
    <w:lvl w:ilvl="0">
      <w:start w:val="1"/>
      <w:numFmt w:val="bullet"/>
      <w:pStyle w:val="Loetelupunktidega"/>
      <w:lvlText w:val=""/>
      <w:lvlJc w:val="left"/>
      <w:pPr>
        <w:ind w:left="340" w:hanging="227"/>
      </w:pPr>
      <w:rPr>
        <w:rFonts w:ascii="Symbol" w:hAnsi="Symbol" w:hint="default"/>
      </w:rPr>
    </w:lvl>
    <w:lvl w:ilvl="1">
      <w:numFmt w:val="bullet"/>
      <w:pStyle w:val="Loetelu2tase"/>
      <w:lvlText w:val="•"/>
      <w:lvlJc w:val="left"/>
      <w:pPr>
        <w:ind w:left="567" w:hanging="227"/>
      </w:pPr>
      <w:rPr>
        <w:rFonts w:ascii="Segoe UI" w:hAnsi="Segoe U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4646C89"/>
    <w:multiLevelType w:val="hybridMultilevel"/>
    <w:tmpl w:val="E2185DDC"/>
    <w:lvl w:ilvl="0" w:tplc="6C242850">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A560C3A"/>
    <w:multiLevelType w:val="hybridMultilevel"/>
    <w:tmpl w:val="51B29AE4"/>
    <w:lvl w:ilvl="0" w:tplc="0C2C48F6">
      <w:start w:val="10"/>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55DA50EB"/>
    <w:multiLevelType w:val="hybridMultilevel"/>
    <w:tmpl w:val="051E991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7514D7A"/>
    <w:multiLevelType w:val="hybridMultilevel"/>
    <w:tmpl w:val="43FA2AAC"/>
    <w:lvl w:ilvl="0" w:tplc="5E5EA2D4">
      <w:start w:val="1"/>
      <w:numFmt w:val="decimal"/>
      <w:pStyle w:val="Pealkiri11"/>
      <w:lvlText w:val="%1."/>
      <w:lvlJc w:val="left"/>
      <w:pPr>
        <w:ind w:left="360" w:hanging="360"/>
      </w:pPr>
      <w:rPr>
        <w:rFonts w:ascii="Roboto Condensed" w:hAnsi="Roboto Condensed" w:hint="default"/>
        <w:b/>
        <w:i w:val="0"/>
        <w:color w:val="006EB5"/>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146265470">
    <w:abstractNumId w:val="3"/>
  </w:num>
  <w:num w:numId="2" w16cid:durableId="746390798">
    <w:abstractNumId w:val="7"/>
  </w:num>
  <w:num w:numId="3" w16cid:durableId="418454972">
    <w:abstractNumId w:val="0"/>
  </w:num>
  <w:num w:numId="4" w16cid:durableId="1846898192">
    <w:abstractNumId w:val="2"/>
  </w:num>
  <w:num w:numId="5" w16cid:durableId="788740271">
    <w:abstractNumId w:val="4"/>
  </w:num>
  <w:num w:numId="6" w16cid:durableId="1967391846">
    <w:abstractNumId w:val="6"/>
  </w:num>
  <w:num w:numId="7" w16cid:durableId="1734351900">
    <w:abstractNumId w:val="0"/>
  </w:num>
  <w:num w:numId="8" w16cid:durableId="1846625986">
    <w:abstractNumId w:val="0"/>
  </w:num>
  <w:num w:numId="9" w16cid:durableId="582879356">
    <w:abstractNumId w:val="0"/>
  </w:num>
  <w:num w:numId="10" w16cid:durableId="415322435">
    <w:abstractNumId w:val="0"/>
  </w:num>
  <w:num w:numId="11" w16cid:durableId="1045253651">
    <w:abstractNumId w:val="0"/>
  </w:num>
  <w:num w:numId="12" w16cid:durableId="472063831">
    <w:abstractNumId w:val="5"/>
  </w:num>
  <w:num w:numId="13" w16cid:durableId="62084717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08"/>
  <w:consecutiveHyphenLimit w:val="2"/>
  <w:hyphenationZone w:val="425"/>
  <w:defaultTableStyle w:val="TableSubtle1"/>
  <w:characterSpacingControl w:val="doNotCompress"/>
  <w:hdrShapeDefaults>
    <o:shapedefaults v:ext="edit" spidmax="63897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F3B"/>
    <w:rsid w:val="000009DD"/>
    <w:rsid w:val="00000A8A"/>
    <w:rsid w:val="00001727"/>
    <w:rsid w:val="00001EC7"/>
    <w:rsid w:val="00002C75"/>
    <w:rsid w:val="00003AB3"/>
    <w:rsid w:val="00003FB3"/>
    <w:rsid w:val="000063A2"/>
    <w:rsid w:val="000065F7"/>
    <w:rsid w:val="0000662F"/>
    <w:rsid w:val="000074DF"/>
    <w:rsid w:val="00007B50"/>
    <w:rsid w:val="00010333"/>
    <w:rsid w:val="000106EB"/>
    <w:rsid w:val="00010C8A"/>
    <w:rsid w:val="00011D2C"/>
    <w:rsid w:val="0001206D"/>
    <w:rsid w:val="0001254E"/>
    <w:rsid w:val="000141AF"/>
    <w:rsid w:val="000164D8"/>
    <w:rsid w:val="000169D2"/>
    <w:rsid w:val="00020170"/>
    <w:rsid w:val="000201CC"/>
    <w:rsid w:val="00021311"/>
    <w:rsid w:val="000216A1"/>
    <w:rsid w:val="00022A90"/>
    <w:rsid w:val="00022BDA"/>
    <w:rsid w:val="00022D9C"/>
    <w:rsid w:val="000233B9"/>
    <w:rsid w:val="00023865"/>
    <w:rsid w:val="000241E6"/>
    <w:rsid w:val="00024753"/>
    <w:rsid w:val="000254F7"/>
    <w:rsid w:val="0002574E"/>
    <w:rsid w:val="000273A1"/>
    <w:rsid w:val="0002749A"/>
    <w:rsid w:val="000308DF"/>
    <w:rsid w:val="000309D2"/>
    <w:rsid w:val="00031A93"/>
    <w:rsid w:val="00031CA0"/>
    <w:rsid w:val="000320D2"/>
    <w:rsid w:val="0003271C"/>
    <w:rsid w:val="000357FE"/>
    <w:rsid w:val="00037170"/>
    <w:rsid w:val="00040388"/>
    <w:rsid w:val="000412C6"/>
    <w:rsid w:val="00041CB3"/>
    <w:rsid w:val="00042F16"/>
    <w:rsid w:val="000433D8"/>
    <w:rsid w:val="00043791"/>
    <w:rsid w:val="000439D7"/>
    <w:rsid w:val="00044A43"/>
    <w:rsid w:val="00045186"/>
    <w:rsid w:val="00045503"/>
    <w:rsid w:val="000459BD"/>
    <w:rsid w:val="00045ABE"/>
    <w:rsid w:val="000475EF"/>
    <w:rsid w:val="0005045D"/>
    <w:rsid w:val="00050ACF"/>
    <w:rsid w:val="00050CBE"/>
    <w:rsid w:val="00051094"/>
    <w:rsid w:val="0005206D"/>
    <w:rsid w:val="000525E1"/>
    <w:rsid w:val="000525E4"/>
    <w:rsid w:val="00052845"/>
    <w:rsid w:val="00052F1D"/>
    <w:rsid w:val="00054CEB"/>
    <w:rsid w:val="000557B8"/>
    <w:rsid w:val="00055987"/>
    <w:rsid w:val="00060308"/>
    <w:rsid w:val="0006057E"/>
    <w:rsid w:val="00060751"/>
    <w:rsid w:val="0006104A"/>
    <w:rsid w:val="00063102"/>
    <w:rsid w:val="00063371"/>
    <w:rsid w:val="00063CD4"/>
    <w:rsid w:val="00063EB4"/>
    <w:rsid w:val="00063EC6"/>
    <w:rsid w:val="00064144"/>
    <w:rsid w:val="0006521C"/>
    <w:rsid w:val="00065C0A"/>
    <w:rsid w:val="000665B0"/>
    <w:rsid w:val="00066D39"/>
    <w:rsid w:val="00066DCE"/>
    <w:rsid w:val="00067816"/>
    <w:rsid w:val="00067B5A"/>
    <w:rsid w:val="00067CE7"/>
    <w:rsid w:val="00070CC1"/>
    <w:rsid w:val="000720E8"/>
    <w:rsid w:val="000724E5"/>
    <w:rsid w:val="00074460"/>
    <w:rsid w:val="000753CD"/>
    <w:rsid w:val="000758D5"/>
    <w:rsid w:val="00075FD2"/>
    <w:rsid w:val="00076094"/>
    <w:rsid w:val="00076816"/>
    <w:rsid w:val="00076F97"/>
    <w:rsid w:val="0007781C"/>
    <w:rsid w:val="000817A5"/>
    <w:rsid w:val="000820D9"/>
    <w:rsid w:val="0008310B"/>
    <w:rsid w:val="00083689"/>
    <w:rsid w:val="0008388F"/>
    <w:rsid w:val="00083971"/>
    <w:rsid w:val="00083F21"/>
    <w:rsid w:val="00084360"/>
    <w:rsid w:val="0008467A"/>
    <w:rsid w:val="00085095"/>
    <w:rsid w:val="00087B99"/>
    <w:rsid w:val="00090B3C"/>
    <w:rsid w:val="00091375"/>
    <w:rsid w:val="00091A91"/>
    <w:rsid w:val="00093E30"/>
    <w:rsid w:val="0009450C"/>
    <w:rsid w:val="00094837"/>
    <w:rsid w:val="00096183"/>
    <w:rsid w:val="00096F8E"/>
    <w:rsid w:val="00097E4C"/>
    <w:rsid w:val="000A0343"/>
    <w:rsid w:val="000A1A8C"/>
    <w:rsid w:val="000A325E"/>
    <w:rsid w:val="000A3B9C"/>
    <w:rsid w:val="000A416D"/>
    <w:rsid w:val="000A5630"/>
    <w:rsid w:val="000A59F9"/>
    <w:rsid w:val="000A5B2F"/>
    <w:rsid w:val="000A6902"/>
    <w:rsid w:val="000A7ED6"/>
    <w:rsid w:val="000B11D7"/>
    <w:rsid w:val="000B1B38"/>
    <w:rsid w:val="000B2669"/>
    <w:rsid w:val="000B39AB"/>
    <w:rsid w:val="000B3D11"/>
    <w:rsid w:val="000B4682"/>
    <w:rsid w:val="000B47D7"/>
    <w:rsid w:val="000B5176"/>
    <w:rsid w:val="000B5734"/>
    <w:rsid w:val="000B5B9A"/>
    <w:rsid w:val="000B7497"/>
    <w:rsid w:val="000B7B63"/>
    <w:rsid w:val="000C04EE"/>
    <w:rsid w:val="000C0627"/>
    <w:rsid w:val="000C0C5B"/>
    <w:rsid w:val="000C0E46"/>
    <w:rsid w:val="000C18FD"/>
    <w:rsid w:val="000C2ABA"/>
    <w:rsid w:val="000C3617"/>
    <w:rsid w:val="000C3B0F"/>
    <w:rsid w:val="000C4DC5"/>
    <w:rsid w:val="000C5AD9"/>
    <w:rsid w:val="000C5EDE"/>
    <w:rsid w:val="000C691B"/>
    <w:rsid w:val="000C6A40"/>
    <w:rsid w:val="000C708C"/>
    <w:rsid w:val="000C7A3D"/>
    <w:rsid w:val="000C7D61"/>
    <w:rsid w:val="000D02FD"/>
    <w:rsid w:val="000D0507"/>
    <w:rsid w:val="000D1B7D"/>
    <w:rsid w:val="000D30FB"/>
    <w:rsid w:val="000D39E0"/>
    <w:rsid w:val="000D4675"/>
    <w:rsid w:val="000D469C"/>
    <w:rsid w:val="000D47C6"/>
    <w:rsid w:val="000D52B8"/>
    <w:rsid w:val="000D6B2E"/>
    <w:rsid w:val="000D72E2"/>
    <w:rsid w:val="000E1046"/>
    <w:rsid w:val="000E1C30"/>
    <w:rsid w:val="000E201D"/>
    <w:rsid w:val="000E2750"/>
    <w:rsid w:val="000E2C0C"/>
    <w:rsid w:val="000E2C47"/>
    <w:rsid w:val="000E2D38"/>
    <w:rsid w:val="000E306F"/>
    <w:rsid w:val="000E3076"/>
    <w:rsid w:val="000E3BCB"/>
    <w:rsid w:val="000E411A"/>
    <w:rsid w:val="000E5757"/>
    <w:rsid w:val="000E59D6"/>
    <w:rsid w:val="000F05E3"/>
    <w:rsid w:val="000F0D21"/>
    <w:rsid w:val="000F13F8"/>
    <w:rsid w:val="000F181D"/>
    <w:rsid w:val="000F40F7"/>
    <w:rsid w:val="000F41AB"/>
    <w:rsid w:val="000F4A40"/>
    <w:rsid w:val="000F5CEF"/>
    <w:rsid w:val="001007B4"/>
    <w:rsid w:val="001007D1"/>
    <w:rsid w:val="0010141B"/>
    <w:rsid w:val="00101812"/>
    <w:rsid w:val="00101BC9"/>
    <w:rsid w:val="00101ED5"/>
    <w:rsid w:val="001047FB"/>
    <w:rsid w:val="0010482F"/>
    <w:rsid w:val="00104B3E"/>
    <w:rsid w:val="00105302"/>
    <w:rsid w:val="0010545C"/>
    <w:rsid w:val="00105AA5"/>
    <w:rsid w:val="0010654B"/>
    <w:rsid w:val="00106564"/>
    <w:rsid w:val="00107B95"/>
    <w:rsid w:val="001107B7"/>
    <w:rsid w:val="001109E4"/>
    <w:rsid w:val="001113B9"/>
    <w:rsid w:val="00112E90"/>
    <w:rsid w:val="001136E9"/>
    <w:rsid w:val="0011377B"/>
    <w:rsid w:val="00114FE9"/>
    <w:rsid w:val="00116BC5"/>
    <w:rsid w:val="00116D1B"/>
    <w:rsid w:val="00116DCD"/>
    <w:rsid w:val="001174B7"/>
    <w:rsid w:val="00120465"/>
    <w:rsid w:val="001205E5"/>
    <w:rsid w:val="00120AE5"/>
    <w:rsid w:val="00120BBF"/>
    <w:rsid w:val="001214E8"/>
    <w:rsid w:val="00123C91"/>
    <w:rsid w:val="00125264"/>
    <w:rsid w:val="00125EDB"/>
    <w:rsid w:val="0012656C"/>
    <w:rsid w:val="00126BA6"/>
    <w:rsid w:val="0012755C"/>
    <w:rsid w:val="00127846"/>
    <w:rsid w:val="00130D4A"/>
    <w:rsid w:val="00133B74"/>
    <w:rsid w:val="00133FFE"/>
    <w:rsid w:val="00134D51"/>
    <w:rsid w:val="00134EF2"/>
    <w:rsid w:val="0013537F"/>
    <w:rsid w:val="00135A88"/>
    <w:rsid w:val="00135DCF"/>
    <w:rsid w:val="0013602F"/>
    <w:rsid w:val="00136D0D"/>
    <w:rsid w:val="00137FE6"/>
    <w:rsid w:val="001405E8"/>
    <w:rsid w:val="00140690"/>
    <w:rsid w:val="00140CB4"/>
    <w:rsid w:val="00141857"/>
    <w:rsid w:val="0014190B"/>
    <w:rsid w:val="001421C3"/>
    <w:rsid w:val="00142206"/>
    <w:rsid w:val="001423CD"/>
    <w:rsid w:val="00142779"/>
    <w:rsid w:val="001439C5"/>
    <w:rsid w:val="00144600"/>
    <w:rsid w:val="0014491F"/>
    <w:rsid w:val="00144B11"/>
    <w:rsid w:val="00144E64"/>
    <w:rsid w:val="001461A2"/>
    <w:rsid w:val="00146B92"/>
    <w:rsid w:val="00146F8C"/>
    <w:rsid w:val="00147A28"/>
    <w:rsid w:val="001504A9"/>
    <w:rsid w:val="0015156C"/>
    <w:rsid w:val="00152232"/>
    <w:rsid w:val="00152401"/>
    <w:rsid w:val="00153507"/>
    <w:rsid w:val="001541C7"/>
    <w:rsid w:val="00154774"/>
    <w:rsid w:val="00154EE4"/>
    <w:rsid w:val="00155F38"/>
    <w:rsid w:val="00156A9D"/>
    <w:rsid w:val="00156F51"/>
    <w:rsid w:val="001574BA"/>
    <w:rsid w:val="0016011A"/>
    <w:rsid w:val="00161249"/>
    <w:rsid w:val="0016183E"/>
    <w:rsid w:val="00162662"/>
    <w:rsid w:val="00162DDC"/>
    <w:rsid w:val="0016335D"/>
    <w:rsid w:val="0016377A"/>
    <w:rsid w:val="0016466E"/>
    <w:rsid w:val="00165072"/>
    <w:rsid w:val="00170159"/>
    <w:rsid w:val="0017017F"/>
    <w:rsid w:val="001708B4"/>
    <w:rsid w:val="0017187E"/>
    <w:rsid w:val="00173B52"/>
    <w:rsid w:val="0017495F"/>
    <w:rsid w:val="00174A5C"/>
    <w:rsid w:val="0017612C"/>
    <w:rsid w:val="00176433"/>
    <w:rsid w:val="00176D02"/>
    <w:rsid w:val="0017701D"/>
    <w:rsid w:val="00177829"/>
    <w:rsid w:val="00177B6A"/>
    <w:rsid w:val="00180EF0"/>
    <w:rsid w:val="001818F0"/>
    <w:rsid w:val="0018207D"/>
    <w:rsid w:val="0018258B"/>
    <w:rsid w:val="00184082"/>
    <w:rsid w:val="00184E53"/>
    <w:rsid w:val="00185437"/>
    <w:rsid w:val="00186A47"/>
    <w:rsid w:val="00186B32"/>
    <w:rsid w:val="00187A16"/>
    <w:rsid w:val="00190729"/>
    <w:rsid w:val="00190913"/>
    <w:rsid w:val="00191706"/>
    <w:rsid w:val="00191807"/>
    <w:rsid w:val="0019237B"/>
    <w:rsid w:val="001931F3"/>
    <w:rsid w:val="0019442C"/>
    <w:rsid w:val="00195DA6"/>
    <w:rsid w:val="00196EBE"/>
    <w:rsid w:val="00196F2B"/>
    <w:rsid w:val="001A00BB"/>
    <w:rsid w:val="001A1296"/>
    <w:rsid w:val="001A196F"/>
    <w:rsid w:val="001A1ECF"/>
    <w:rsid w:val="001A22EE"/>
    <w:rsid w:val="001A2EFF"/>
    <w:rsid w:val="001A4C18"/>
    <w:rsid w:val="001A6BF9"/>
    <w:rsid w:val="001A776C"/>
    <w:rsid w:val="001A77F5"/>
    <w:rsid w:val="001B1240"/>
    <w:rsid w:val="001B33AB"/>
    <w:rsid w:val="001B3FC1"/>
    <w:rsid w:val="001B5780"/>
    <w:rsid w:val="001B59A7"/>
    <w:rsid w:val="001B67E6"/>
    <w:rsid w:val="001B6B82"/>
    <w:rsid w:val="001B793B"/>
    <w:rsid w:val="001B7BED"/>
    <w:rsid w:val="001C02E9"/>
    <w:rsid w:val="001C0E73"/>
    <w:rsid w:val="001C0F2F"/>
    <w:rsid w:val="001C13B9"/>
    <w:rsid w:val="001C1B6C"/>
    <w:rsid w:val="001C1BDD"/>
    <w:rsid w:val="001C26E8"/>
    <w:rsid w:val="001C3ABA"/>
    <w:rsid w:val="001C3FEE"/>
    <w:rsid w:val="001C4BE0"/>
    <w:rsid w:val="001C4C00"/>
    <w:rsid w:val="001C5FEC"/>
    <w:rsid w:val="001C6070"/>
    <w:rsid w:val="001C6780"/>
    <w:rsid w:val="001C6F6C"/>
    <w:rsid w:val="001C7602"/>
    <w:rsid w:val="001D2061"/>
    <w:rsid w:val="001D2E25"/>
    <w:rsid w:val="001D2FB3"/>
    <w:rsid w:val="001D33C8"/>
    <w:rsid w:val="001D3CB0"/>
    <w:rsid w:val="001D45D8"/>
    <w:rsid w:val="001D6252"/>
    <w:rsid w:val="001D66EC"/>
    <w:rsid w:val="001D6947"/>
    <w:rsid w:val="001D6BFC"/>
    <w:rsid w:val="001D71EE"/>
    <w:rsid w:val="001D7312"/>
    <w:rsid w:val="001D7B36"/>
    <w:rsid w:val="001E0776"/>
    <w:rsid w:val="001E0C41"/>
    <w:rsid w:val="001E1681"/>
    <w:rsid w:val="001E285D"/>
    <w:rsid w:val="001E2988"/>
    <w:rsid w:val="001E36BC"/>
    <w:rsid w:val="001E3A08"/>
    <w:rsid w:val="001E4AA8"/>
    <w:rsid w:val="001E5438"/>
    <w:rsid w:val="001E6262"/>
    <w:rsid w:val="001E6701"/>
    <w:rsid w:val="001E67B1"/>
    <w:rsid w:val="001E6C48"/>
    <w:rsid w:val="001E74EC"/>
    <w:rsid w:val="001E7735"/>
    <w:rsid w:val="001F180C"/>
    <w:rsid w:val="001F219A"/>
    <w:rsid w:val="001F221E"/>
    <w:rsid w:val="001F27D2"/>
    <w:rsid w:val="001F2FBA"/>
    <w:rsid w:val="001F476A"/>
    <w:rsid w:val="001F4AC5"/>
    <w:rsid w:val="001F4DF3"/>
    <w:rsid w:val="001F5C31"/>
    <w:rsid w:val="001F5C71"/>
    <w:rsid w:val="001F6552"/>
    <w:rsid w:val="001F6B70"/>
    <w:rsid w:val="001F721F"/>
    <w:rsid w:val="001F7CB5"/>
    <w:rsid w:val="001F7E78"/>
    <w:rsid w:val="00200C4D"/>
    <w:rsid w:val="00201039"/>
    <w:rsid w:val="00201436"/>
    <w:rsid w:val="00201619"/>
    <w:rsid w:val="002037AB"/>
    <w:rsid w:val="00203F9D"/>
    <w:rsid w:val="00204A39"/>
    <w:rsid w:val="0020741F"/>
    <w:rsid w:val="002077D6"/>
    <w:rsid w:val="0021045E"/>
    <w:rsid w:val="002110FB"/>
    <w:rsid w:val="002113F4"/>
    <w:rsid w:val="0021242F"/>
    <w:rsid w:val="00212603"/>
    <w:rsid w:val="002129B5"/>
    <w:rsid w:val="0021345A"/>
    <w:rsid w:val="00215AEF"/>
    <w:rsid w:val="00215F06"/>
    <w:rsid w:val="00217058"/>
    <w:rsid w:val="00217210"/>
    <w:rsid w:val="002172A1"/>
    <w:rsid w:val="002172A7"/>
    <w:rsid w:val="00217B0A"/>
    <w:rsid w:val="0022085F"/>
    <w:rsid w:val="002208FD"/>
    <w:rsid w:val="0022091B"/>
    <w:rsid w:val="0022147C"/>
    <w:rsid w:val="002217E6"/>
    <w:rsid w:val="00221E85"/>
    <w:rsid w:val="002220C8"/>
    <w:rsid w:val="00222A52"/>
    <w:rsid w:val="00222C7F"/>
    <w:rsid w:val="0022322A"/>
    <w:rsid w:val="002243D6"/>
    <w:rsid w:val="002249F4"/>
    <w:rsid w:val="0022558F"/>
    <w:rsid w:val="00226766"/>
    <w:rsid w:val="00226C80"/>
    <w:rsid w:val="002276FE"/>
    <w:rsid w:val="0022791C"/>
    <w:rsid w:val="00227AB5"/>
    <w:rsid w:val="00230374"/>
    <w:rsid w:val="002306A1"/>
    <w:rsid w:val="0023193D"/>
    <w:rsid w:val="00231CFA"/>
    <w:rsid w:val="00232855"/>
    <w:rsid w:val="00232A68"/>
    <w:rsid w:val="00233003"/>
    <w:rsid w:val="00234783"/>
    <w:rsid w:val="00235024"/>
    <w:rsid w:val="00235993"/>
    <w:rsid w:val="00235FB4"/>
    <w:rsid w:val="0023610E"/>
    <w:rsid w:val="002367B1"/>
    <w:rsid w:val="00237FB6"/>
    <w:rsid w:val="002406C2"/>
    <w:rsid w:val="00240759"/>
    <w:rsid w:val="0024192F"/>
    <w:rsid w:val="00241CB2"/>
    <w:rsid w:val="00241FE1"/>
    <w:rsid w:val="002427B8"/>
    <w:rsid w:val="00242A85"/>
    <w:rsid w:val="0024373E"/>
    <w:rsid w:val="00243D20"/>
    <w:rsid w:val="00243EEC"/>
    <w:rsid w:val="002447B1"/>
    <w:rsid w:val="00244F5C"/>
    <w:rsid w:val="002466E6"/>
    <w:rsid w:val="00246B11"/>
    <w:rsid w:val="00251411"/>
    <w:rsid w:val="00251A30"/>
    <w:rsid w:val="00253B54"/>
    <w:rsid w:val="00253DCE"/>
    <w:rsid w:val="00254190"/>
    <w:rsid w:val="0025424F"/>
    <w:rsid w:val="00254DFA"/>
    <w:rsid w:val="00255275"/>
    <w:rsid w:val="0025643D"/>
    <w:rsid w:val="00256858"/>
    <w:rsid w:val="00256B20"/>
    <w:rsid w:val="00256D53"/>
    <w:rsid w:val="00256DB4"/>
    <w:rsid w:val="00256DC2"/>
    <w:rsid w:val="00257307"/>
    <w:rsid w:val="0026078A"/>
    <w:rsid w:val="002609A3"/>
    <w:rsid w:val="00261BD2"/>
    <w:rsid w:val="00262DB4"/>
    <w:rsid w:val="0026344E"/>
    <w:rsid w:val="00263773"/>
    <w:rsid w:val="00263874"/>
    <w:rsid w:val="00263CCC"/>
    <w:rsid w:val="00263D4E"/>
    <w:rsid w:val="00263E28"/>
    <w:rsid w:val="00263EAD"/>
    <w:rsid w:val="00265A83"/>
    <w:rsid w:val="00265DCA"/>
    <w:rsid w:val="00266536"/>
    <w:rsid w:val="00266561"/>
    <w:rsid w:val="00266BF3"/>
    <w:rsid w:val="00266F38"/>
    <w:rsid w:val="0026700A"/>
    <w:rsid w:val="00267040"/>
    <w:rsid w:val="00270945"/>
    <w:rsid w:val="00270BCD"/>
    <w:rsid w:val="0027196A"/>
    <w:rsid w:val="002719ED"/>
    <w:rsid w:val="00271CEF"/>
    <w:rsid w:val="00271F27"/>
    <w:rsid w:val="00272EA4"/>
    <w:rsid w:val="002736D9"/>
    <w:rsid w:val="00274FC8"/>
    <w:rsid w:val="00275A5E"/>
    <w:rsid w:val="00276D2A"/>
    <w:rsid w:val="00276D48"/>
    <w:rsid w:val="00277432"/>
    <w:rsid w:val="002776F2"/>
    <w:rsid w:val="00280273"/>
    <w:rsid w:val="00281D30"/>
    <w:rsid w:val="00282820"/>
    <w:rsid w:val="00282D33"/>
    <w:rsid w:val="00283B80"/>
    <w:rsid w:val="0028401A"/>
    <w:rsid w:val="002840EC"/>
    <w:rsid w:val="00284932"/>
    <w:rsid w:val="00285152"/>
    <w:rsid w:val="002854BE"/>
    <w:rsid w:val="00286EB6"/>
    <w:rsid w:val="002904E8"/>
    <w:rsid w:val="00290512"/>
    <w:rsid w:val="00291948"/>
    <w:rsid w:val="002925FF"/>
    <w:rsid w:val="00292A6E"/>
    <w:rsid w:val="00293E0F"/>
    <w:rsid w:val="002944E9"/>
    <w:rsid w:val="00294D20"/>
    <w:rsid w:val="00295003"/>
    <w:rsid w:val="00296342"/>
    <w:rsid w:val="00296A97"/>
    <w:rsid w:val="00297481"/>
    <w:rsid w:val="00297517"/>
    <w:rsid w:val="00297BF5"/>
    <w:rsid w:val="002A05B5"/>
    <w:rsid w:val="002A07D3"/>
    <w:rsid w:val="002A154C"/>
    <w:rsid w:val="002A3084"/>
    <w:rsid w:val="002A4514"/>
    <w:rsid w:val="002A495D"/>
    <w:rsid w:val="002A4FD7"/>
    <w:rsid w:val="002A5673"/>
    <w:rsid w:val="002A5DED"/>
    <w:rsid w:val="002A6CA5"/>
    <w:rsid w:val="002B03BF"/>
    <w:rsid w:val="002B05DD"/>
    <w:rsid w:val="002B30D7"/>
    <w:rsid w:val="002B310C"/>
    <w:rsid w:val="002B347A"/>
    <w:rsid w:val="002B4404"/>
    <w:rsid w:val="002B5A52"/>
    <w:rsid w:val="002B6B57"/>
    <w:rsid w:val="002B6C9E"/>
    <w:rsid w:val="002B76DA"/>
    <w:rsid w:val="002B7F36"/>
    <w:rsid w:val="002C15A9"/>
    <w:rsid w:val="002C1BC2"/>
    <w:rsid w:val="002C2E21"/>
    <w:rsid w:val="002C32A5"/>
    <w:rsid w:val="002C5124"/>
    <w:rsid w:val="002C5468"/>
    <w:rsid w:val="002C5B5D"/>
    <w:rsid w:val="002C6DDA"/>
    <w:rsid w:val="002C6DDF"/>
    <w:rsid w:val="002D0032"/>
    <w:rsid w:val="002D0EA8"/>
    <w:rsid w:val="002D190E"/>
    <w:rsid w:val="002D1AFF"/>
    <w:rsid w:val="002D4A0D"/>
    <w:rsid w:val="002D5B59"/>
    <w:rsid w:val="002D69C3"/>
    <w:rsid w:val="002D6BC9"/>
    <w:rsid w:val="002D7182"/>
    <w:rsid w:val="002E1047"/>
    <w:rsid w:val="002E1693"/>
    <w:rsid w:val="002E24C9"/>
    <w:rsid w:val="002E2625"/>
    <w:rsid w:val="002E280C"/>
    <w:rsid w:val="002E4EC3"/>
    <w:rsid w:val="002E529F"/>
    <w:rsid w:val="002E75A1"/>
    <w:rsid w:val="002E75C2"/>
    <w:rsid w:val="002E77FD"/>
    <w:rsid w:val="002E7DC8"/>
    <w:rsid w:val="002F1005"/>
    <w:rsid w:val="002F14BA"/>
    <w:rsid w:val="002F2507"/>
    <w:rsid w:val="002F291E"/>
    <w:rsid w:val="002F2928"/>
    <w:rsid w:val="002F381F"/>
    <w:rsid w:val="002F3D54"/>
    <w:rsid w:val="002F3E04"/>
    <w:rsid w:val="002F4074"/>
    <w:rsid w:val="002F4AC0"/>
    <w:rsid w:val="002F51E6"/>
    <w:rsid w:val="002F542F"/>
    <w:rsid w:val="002F6C52"/>
    <w:rsid w:val="002F6EE4"/>
    <w:rsid w:val="002F784D"/>
    <w:rsid w:val="00300010"/>
    <w:rsid w:val="00300398"/>
    <w:rsid w:val="00300C5C"/>
    <w:rsid w:val="00300FD0"/>
    <w:rsid w:val="00301CE2"/>
    <w:rsid w:val="0030207E"/>
    <w:rsid w:val="003027FA"/>
    <w:rsid w:val="003029BC"/>
    <w:rsid w:val="00302D78"/>
    <w:rsid w:val="00303913"/>
    <w:rsid w:val="003039CD"/>
    <w:rsid w:val="00303F17"/>
    <w:rsid w:val="00304115"/>
    <w:rsid w:val="003041F9"/>
    <w:rsid w:val="00304424"/>
    <w:rsid w:val="003046B4"/>
    <w:rsid w:val="0030559C"/>
    <w:rsid w:val="00305E0B"/>
    <w:rsid w:val="0030670A"/>
    <w:rsid w:val="0030784B"/>
    <w:rsid w:val="0030793B"/>
    <w:rsid w:val="003079B4"/>
    <w:rsid w:val="00307E7E"/>
    <w:rsid w:val="00310052"/>
    <w:rsid w:val="0031090B"/>
    <w:rsid w:val="00310A45"/>
    <w:rsid w:val="003112BA"/>
    <w:rsid w:val="00311CF6"/>
    <w:rsid w:val="00312FC0"/>
    <w:rsid w:val="00313F8A"/>
    <w:rsid w:val="00314475"/>
    <w:rsid w:val="00314AE2"/>
    <w:rsid w:val="00314BE5"/>
    <w:rsid w:val="00315E9C"/>
    <w:rsid w:val="003163D3"/>
    <w:rsid w:val="0031726A"/>
    <w:rsid w:val="00317AFD"/>
    <w:rsid w:val="00320660"/>
    <w:rsid w:val="003212DA"/>
    <w:rsid w:val="00321454"/>
    <w:rsid w:val="0032243E"/>
    <w:rsid w:val="003239E8"/>
    <w:rsid w:val="00324411"/>
    <w:rsid w:val="003248ED"/>
    <w:rsid w:val="00324DED"/>
    <w:rsid w:val="0032563D"/>
    <w:rsid w:val="00325CF0"/>
    <w:rsid w:val="00325E30"/>
    <w:rsid w:val="00326444"/>
    <w:rsid w:val="0032671F"/>
    <w:rsid w:val="00326AE4"/>
    <w:rsid w:val="00327428"/>
    <w:rsid w:val="003302D8"/>
    <w:rsid w:val="00330353"/>
    <w:rsid w:val="003309F4"/>
    <w:rsid w:val="00331C7C"/>
    <w:rsid w:val="003341B5"/>
    <w:rsid w:val="003343EB"/>
    <w:rsid w:val="00335555"/>
    <w:rsid w:val="00336182"/>
    <w:rsid w:val="003362FC"/>
    <w:rsid w:val="0033653A"/>
    <w:rsid w:val="00337168"/>
    <w:rsid w:val="00337369"/>
    <w:rsid w:val="00337569"/>
    <w:rsid w:val="0034030A"/>
    <w:rsid w:val="00340AD7"/>
    <w:rsid w:val="00340E8E"/>
    <w:rsid w:val="003418D8"/>
    <w:rsid w:val="003428F6"/>
    <w:rsid w:val="0034301E"/>
    <w:rsid w:val="00343F70"/>
    <w:rsid w:val="00344E8B"/>
    <w:rsid w:val="00346CDF"/>
    <w:rsid w:val="00346DD3"/>
    <w:rsid w:val="00347B54"/>
    <w:rsid w:val="00350420"/>
    <w:rsid w:val="00350EC2"/>
    <w:rsid w:val="0035175F"/>
    <w:rsid w:val="00351936"/>
    <w:rsid w:val="003521A0"/>
    <w:rsid w:val="003525AE"/>
    <w:rsid w:val="00352D92"/>
    <w:rsid w:val="00353B05"/>
    <w:rsid w:val="00353B50"/>
    <w:rsid w:val="0035472E"/>
    <w:rsid w:val="00354867"/>
    <w:rsid w:val="00355528"/>
    <w:rsid w:val="0035624B"/>
    <w:rsid w:val="003562C1"/>
    <w:rsid w:val="003564F7"/>
    <w:rsid w:val="00357156"/>
    <w:rsid w:val="00357BB7"/>
    <w:rsid w:val="00360303"/>
    <w:rsid w:val="00360C22"/>
    <w:rsid w:val="00360D6E"/>
    <w:rsid w:val="00361321"/>
    <w:rsid w:val="0036163F"/>
    <w:rsid w:val="0036165C"/>
    <w:rsid w:val="00361B9C"/>
    <w:rsid w:val="00361EA6"/>
    <w:rsid w:val="00363683"/>
    <w:rsid w:val="00363CD5"/>
    <w:rsid w:val="00364988"/>
    <w:rsid w:val="003656B1"/>
    <w:rsid w:val="003656CC"/>
    <w:rsid w:val="0036574A"/>
    <w:rsid w:val="00365DBB"/>
    <w:rsid w:val="00366480"/>
    <w:rsid w:val="00367C3A"/>
    <w:rsid w:val="00371C3C"/>
    <w:rsid w:val="00372AAA"/>
    <w:rsid w:val="00372AC6"/>
    <w:rsid w:val="00373254"/>
    <w:rsid w:val="00373475"/>
    <w:rsid w:val="003735A5"/>
    <w:rsid w:val="003735D2"/>
    <w:rsid w:val="0037563F"/>
    <w:rsid w:val="00375A8A"/>
    <w:rsid w:val="0037699E"/>
    <w:rsid w:val="003771C1"/>
    <w:rsid w:val="00377ABE"/>
    <w:rsid w:val="0038487A"/>
    <w:rsid w:val="00385708"/>
    <w:rsid w:val="003859A0"/>
    <w:rsid w:val="00385B1C"/>
    <w:rsid w:val="00387871"/>
    <w:rsid w:val="00387B16"/>
    <w:rsid w:val="00387D23"/>
    <w:rsid w:val="0039025A"/>
    <w:rsid w:val="0039049C"/>
    <w:rsid w:val="0039076B"/>
    <w:rsid w:val="00390DC8"/>
    <w:rsid w:val="00390F7E"/>
    <w:rsid w:val="003917DD"/>
    <w:rsid w:val="00392942"/>
    <w:rsid w:val="00392AF0"/>
    <w:rsid w:val="00394B8A"/>
    <w:rsid w:val="00396116"/>
    <w:rsid w:val="00396C42"/>
    <w:rsid w:val="00397526"/>
    <w:rsid w:val="00397E8B"/>
    <w:rsid w:val="00397F50"/>
    <w:rsid w:val="003A01AA"/>
    <w:rsid w:val="003A0683"/>
    <w:rsid w:val="003A0E86"/>
    <w:rsid w:val="003A100C"/>
    <w:rsid w:val="003A11F9"/>
    <w:rsid w:val="003A1542"/>
    <w:rsid w:val="003A1F8F"/>
    <w:rsid w:val="003A227C"/>
    <w:rsid w:val="003A3053"/>
    <w:rsid w:val="003A388C"/>
    <w:rsid w:val="003A3D44"/>
    <w:rsid w:val="003A4790"/>
    <w:rsid w:val="003A48E8"/>
    <w:rsid w:val="003A5843"/>
    <w:rsid w:val="003A5A7F"/>
    <w:rsid w:val="003A6952"/>
    <w:rsid w:val="003A6C2B"/>
    <w:rsid w:val="003A6D64"/>
    <w:rsid w:val="003A7006"/>
    <w:rsid w:val="003A727F"/>
    <w:rsid w:val="003B05E7"/>
    <w:rsid w:val="003B0E0A"/>
    <w:rsid w:val="003B151D"/>
    <w:rsid w:val="003B1E5F"/>
    <w:rsid w:val="003B29FC"/>
    <w:rsid w:val="003B3BDF"/>
    <w:rsid w:val="003B4796"/>
    <w:rsid w:val="003B48DC"/>
    <w:rsid w:val="003B4935"/>
    <w:rsid w:val="003B6466"/>
    <w:rsid w:val="003B7283"/>
    <w:rsid w:val="003C002C"/>
    <w:rsid w:val="003C008C"/>
    <w:rsid w:val="003C0ACD"/>
    <w:rsid w:val="003C0EBC"/>
    <w:rsid w:val="003C1965"/>
    <w:rsid w:val="003C22E6"/>
    <w:rsid w:val="003C27C7"/>
    <w:rsid w:val="003C30F0"/>
    <w:rsid w:val="003C35AE"/>
    <w:rsid w:val="003C35B3"/>
    <w:rsid w:val="003C4409"/>
    <w:rsid w:val="003C548F"/>
    <w:rsid w:val="003C5B76"/>
    <w:rsid w:val="003C6AE0"/>
    <w:rsid w:val="003C6DDB"/>
    <w:rsid w:val="003C7472"/>
    <w:rsid w:val="003C7A6A"/>
    <w:rsid w:val="003D01A7"/>
    <w:rsid w:val="003D07ED"/>
    <w:rsid w:val="003D0D9B"/>
    <w:rsid w:val="003D205F"/>
    <w:rsid w:val="003D2773"/>
    <w:rsid w:val="003D31A9"/>
    <w:rsid w:val="003D50F7"/>
    <w:rsid w:val="003D57CA"/>
    <w:rsid w:val="003D67FE"/>
    <w:rsid w:val="003D708F"/>
    <w:rsid w:val="003D79CC"/>
    <w:rsid w:val="003E1089"/>
    <w:rsid w:val="003E1287"/>
    <w:rsid w:val="003E167E"/>
    <w:rsid w:val="003E2F4A"/>
    <w:rsid w:val="003E3B10"/>
    <w:rsid w:val="003E4441"/>
    <w:rsid w:val="003E48FC"/>
    <w:rsid w:val="003E582E"/>
    <w:rsid w:val="003F017F"/>
    <w:rsid w:val="003F181B"/>
    <w:rsid w:val="003F194B"/>
    <w:rsid w:val="003F1EBE"/>
    <w:rsid w:val="003F32A2"/>
    <w:rsid w:val="003F3978"/>
    <w:rsid w:val="003F3B95"/>
    <w:rsid w:val="003F553E"/>
    <w:rsid w:val="003F61CB"/>
    <w:rsid w:val="003F685B"/>
    <w:rsid w:val="00400A47"/>
    <w:rsid w:val="00401166"/>
    <w:rsid w:val="00401E45"/>
    <w:rsid w:val="00403051"/>
    <w:rsid w:val="00403270"/>
    <w:rsid w:val="0040388B"/>
    <w:rsid w:val="00403CF5"/>
    <w:rsid w:val="00405381"/>
    <w:rsid w:val="00406890"/>
    <w:rsid w:val="00406D34"/>
    <w:rsid w:val="004071AD"/>
    <w:rsid w:val="00407EC5"/>
    <w:rsid w:val="00410EDE"/>
    <w:rsid w:val="00412AF1"/>
    <w:rsid w:val="004137A1"/>
    <w:rsid w:val="00414819"/>
    <w:rsid w:val="0041573D"/>
    <w:rsid w:val="00415D95"/>
    <w:rsid w:val="00415E49"/>
    <w:rsid w:val="00416BA2"/>
    <w:rsid w:val="00416FFC"/>
    <w:rsid w:val="0041716B"/>
    <w:rsid w:val="00420045"/>
    <w:rsid w:val="004210A3"/>
    <w:rsid w:val="0042140D"/>
    <w:rsid w:val="004226B7"/>
    <w:rsid w:val="004256DA"/>
    <w:rsid w:val="00425D19"/>
    <w:rsid w:val="0042648D"/>
    <w:rsid w:val="00426DD3"/>
    <w:rsid w:val="00426EAC"/>
    <w:rsid w:val="004300A1"/>
    <w:rsid w:val="00430EA6"/>
    <w:rsid w:val="00431756"/>
    <w:rsid w:val="00433418"/>
    <w:rsid w:val="00435E44"/>
    <w:rsid w:val="00436C1E"/>
    <w:rsid w:val="0043752A"/>
    <w:rsid w:val="00437A8C"/>
    <w:rsid w:val="00441187"/>
    <w:rsid w:val="00441791"/>
    <w:rsid w:val="004430C4"/>
    <w:rsid w:val="00443163"/>
    <w:rsid w:val="004453B7"/>
    <w:rsid w:val="00445916"/>
    <w:rsid w:val="0044680B"/>
    <w:rsid w:val="00447347"/>
    <w:rsid w:val="00450997"/>
    <w:rsid w:val="00451A33"/>
    <w:rsid w:val="00451B2B"/>
    <w:rsid w:val="0045301B"/>
    <w:rsid w:val="004538BC"/>
    <w:rsid w:val="00455C58"/>
    <w:rsid w:val="00456432"/>
    <w:rsid w:val="004567A8"/>
    <w:rsid w:val="00456AA4"/>
    <w:rsid w:val="00457837"/>
    <w:rsid w:val="00460AE5"/>
    <w:rsid w:val="0046363F"/>
    <w:rsid w:val="00466D2D"/>
    <w:rsid w:val="00467AA7"/>
    <w:rsid w:val="0047036A"/>
    <w:rsid w:val="00470662"/>
    <w:rsid w:val="004706C2"/>
    <w:rsid w:val="004710CD"/>
    <w:rsid w:val="00473A70"/>
    <w:rsid w:val="00474296"/>
    <w:rsid w:val="004749FF"/>
    <w:rsid w:val="00474C22"/>
    <w:rsid w:val="00474CE3"/>
    <w:rsid w:val="0047572F"/>
    <w:rsid w:val="004761B5"/>
    <w:rsid w:val="00476D97"/>
    <w:rsid w:val="00476F9C"/>
    <w:rsid w:val="00480100"/>
    <w:rsid w:val="0048113E"/>
    <w:rsid w:val="004818F0"/>
    <w:rsid w:val="004826E1"/>
    <w:rsid w:val="004828F9"/>
    <w:rsid w:val="0048330D"/>
    <w:rsid w:val="00483C8C"/>
    <w:rsid w:val="00484B2A"/>
    <w:rsid w:val="00484F4D"/>
    <w:rsid w:val="004850B8"/>
    <w:rsid w:val="004859A1"/>
    <w:rsid w:val="00486229"/>
    <w:rsid w:val="00486B68"/>
    <w:rsid w:val="00486E59"/>
    <w:rsid w:val="004914C9"/>
    <w:rsid w:val="00491B86"/>
    <w:rsid w:val="00492C98"/>
    <w:rsid w:val="00493F00"/>
    <w:rsid w:val="00494308"/>
    <w:rsid w:val="00494A3C"/>
    <w:rsid w:val="00494E22"/>
    <w:rsid w:val="00496AB8"/>
    <w:rsid w:val="0049714C"/>
    <w:rsid w:val="004A02D1"/>
    <w:rsid w:val="004A074D"/>
    <w:rsid w:val="004A1855"/>
    <w:rsid w:val="004A1AA5"/>
    <w:rsid w:val="004A2FC5"/>
    <w:rsid w:val="004A4A54"/>
    <w:rsid w:val="004A536A"/>
    <w:rsid w:val="004A55C2"/>
    <w:rsid w:val="004A5ACE"/>
    <w:rsid w:val="004A707A"/>
    <w:rsid w:val="004A7DA8"/>
    <w:rsid w:val="004B01AF"/>
    <w:rsid w:val="004B0529"/>
    <w:rsid w:val="004B1416"/>
    <w:rsid w:val="004B185F"/>
    <w:rsid w:val="004B2BB8"/>
    <w:rsid w:val="004B4BF1"/>
    <w:rsid w:val="004B52DA"/>
    <w:rsid w:val="004B7E9F"/>
    <w:rsid w:val="004C06AD"/>
    <w:rsid w:val="004C0A69"/>
    <w:rsid w:val="004C0EAE"/>
    <w:rsid w:val="004C0F56"/>
    <w:rsid w:val="004C16BB"/>
    <w:rsid w:val="004C1D8E"/>
    <w:rsid w:val="004C2AA7"/>
    <w:rsid w:val="004C3321"/>
    <w:rsid w:val="004C3B24"/>
    <w:rsid w:val="004C3BDB"/>
    <w:rsid w:val="004C3F43"/>
    <w:rsid w:val="004C41D2"/>
    <w:rsid w:val="004C474F"/>
    <w:rsid w:val="004C5163"/>
    <w:rsid w:val="004C6099"/>
    <w:rsid w:val="004C6862"/>
    <w:rsid w:val="004C69FA"/>
    <w:rsid w:val="004C78A8"/>
    <w:rsid w:val="004C7D26"/>
    <w:rsid w:val="004C7EDA"/>
    <w:rsid w:val="004D0E9B"/>
    <w:rsid w:val="004D0ECD"/>
    <w:rsid w:val="004D101E"/>
    <w:rsid w:val="004D1156"/>
    <w:rsid w:val="004D162B"/>
    <w:rsid w:val="004D1BB9"/>
    <w:rsid w:val="004D3D8B"/>
    <w:rsid w:val="004D4226"/>
    <w:rsid w:val="004D4528"/>
    <w:rsid w:val="004D50BA"/>
    <w:rsid w:val="004D5AA7"/>
    <w:rsid w:val="004D60C5"/>
    <w:rsid w:val="004D621E"/>
    <w:rsid w:val="004D66FE"/>
    <w:rsid w:val="004D72FB"/>
    <w:rsid w:val="004D75AF"/>
    <w:rsid w:val="004D7D07"/>
    <w:rsid w:val="004E0727"/>
    <w:rsid w:val="004E2358"/>
    <w:rsid w:val="004E2E95"/>
    <w:rsid w:val="004E2E9C"/>
    <w:rsid w:val="004E2F76"/>
    <w:rsid w:val="004E34CF"/>
    <w:rsid w:val="004E366B"/>
    <w:rsid w:val="004E3791"/>
    <w:rsid w:val="004E61AD"/>
    <w:rsid w:val="004E6F67"/>
    <w:rsid w:val="004E6FA6"/>
    <w:rsid w:val="004F0ACD"/>
    <w:rsid w:val="004F1BF2"/>
    <w:rsid w:val="004F2F83"/>
    <w:rsid w:val="004F371E"/>
    <w:rsid w:val="004F3C37"/>
    <w:rsid w:val="004F3F7D"/>
    <w:rsid w:val="004F49A4"/>
    <w:rsid w:val="004F5AFD"/>
    <w:rsid w:val="004F6561"/>
    <w:rsid w:val="004F6A71"/>
    <w:rsid w:val="004F6DB8"/>
    <w:rsid w:val="005007BA"/>
    <w:rsid w:val="005018EA"/>
    <w:rsid w:val="00501B55"/>
    <w:rsid w:val="0050209F"/>
    <w:rsid w:val="00502723"/>
    <w:rsid w:val="00502989"/>
    <w:rsid w:val="005031E9"/>
    <w:rsid w:val="00505604"/>
    <w:rsid w:val="00505CFC"/>
    <w:rsid w:val="00506876"/>
    <w:rsid w:val="00506FC0"/>
    <w:rsid w:val="00510B52"/>
    <w:rsid w:val="00510DAD"/>
    <w:rsid w:val="005125B3"/>
    <w:rsid w:val="00513FA4"/>
    <w:rsid w:val="005140A5"/>
    <w:rsid w:val="005144A8"/>
    <w:rsid w:val="00514C3D"/>
    <w:rsid w:val="005150BF"/>
    <w:rsid w:val="0051534B"/>
    <w:rsid w:val="00517526"/>
    <w:rsid w:val="005178B0"/>
    <w:rsid w:val="005178B1"/>
    <w:rsid w:val="00517E9D"/>
    <w:rsid w:val="005200A4"/>
    <w:rsid w:val="00520635"/>
    <w:rsid w:val="00520F95"/>
    <w:rsid w:val="00521026"/>
    <w:rsid w:val="00522497"/>
    <w:rsid w:val="0052267E"/>
    <w:rsid w:val="00524084"/>
    <w:rsid w:val="00524A86"/>
    <w:rsid w:val="00524BE7"/>
    <w:rsid w:val="0052502E"/>
    <w:rsid w:val="00525126"/>
    <w:rsid w:val="00526955"/>
    <w:rsid w:val="00530399"/>
    <w:rsid w:val="00530C9E"/>
    <w:rsid w:val="00531B9D"/>
    <w:rsid w:val="00532264"/>
    <w:rsid w:val="005324A4"/>
    <w:rsid w:val="0053376B"/>
    <w:rsid w:val="00533852"/>
    <w:rsid w:val="0053447F"/>
    <w:rsid w:val="00534F3F"/>
    <w:rsid w:val="005377A9"/>
    <w:rsid w:val="00540876"/>
    <w:rsid w:val="00541A6E"/>
    <w:rsid w:val="00541DE4"/>
    <w:rsid w:val="00541E95"/>
    <w:rsid w:val="005427A2"/>
    <w:rsid w:val="0054299D"/>
    <w:rsid w:val="00543962"/>
    <w:rsid w:val="00543DA3"/>
    <w:rsid w:val="00545E90"/>
    <w:rsid w:val="00546E4D"/>
    <w:rsid w:val="005502B4"/>
    <w:rsid w:val="00551630"/>
    <w:rsid w:val="0055166C"/>
    <w:rsid w:val="00551ABD"/>
    <w:rsid w:val="00551DAD"/>
    <w:rsid w:val="00551E9E"/>
    <w:rsid w:val="0055213A"/>
    <w:rsid w:val="005521E5"/>
    <w:rsid w:val="00552B25"/>
    <w:rsid w:val="005535E5"/>
    <w:rsid w:val="00556B68"/>
    <w:rsid w:val="00560F01"/>
    <w:rsid w:val="0056221A"/>
    <w:rsid w:val="0056277B"/>
    <w:rsid w:val="005627C4"/>
    <w:rsid w:val="00562CB1"/>
    <w:rsid w:val="00563C37"/>
    <w:rsid w:val="0056422F"/>
    <w:rsid w:val="00566B36"/>
    <w:rsid w:val="00567032"/>
    <w:rsid w:val="00567525"/>
    <w:rsid w:val="00567995"/>
    <w:rsid w:val="0057040E"/>
    <w:rsid w:val="00570BFC"/>
    <w:rsid w:val="00570FA9"/>
    <w:rsid w:val="00571689"/>
    <w:rsid w:val="00571C51"/>
    <w:rsid w:val="0057316F"/>
    <w:rsid w:val="00574A91"/>
    <w:rsid w:val="00575127"/>
    <w:rsid w:val="00575136"/>
    <w:rsid w:val="00575347"/>
    <w:rsid w:val="00576A0F"/>
    <w:rsid w:val="005774A5"/>
    <w:rsid w:val="00580DB1"/>
    <w:rsid w:val="00580DC6"/>
    <w:rsid w:val="005818F8"/>
    <w:rsid w:val="005821C4"/>
    <w:rsid w:val="005822EA"/>
    <w:rsid w:val="00582331"/>
    <w:rsid w:val="00582AF5"/>
    <w:rsid w:val="00583927"/>
    <w:rsid w:val="00583C5B"/>
    <w:rsid w:val="005847C9"/>
    <w:rsid w:val="00584E9B"/>
    <w:rsid w:val="00586DB0"/>
    <w:rsid w:val="00586FED"/>
    <w:rsid w:val="005879E0"/>
    <w:rsid w:val="00587C3B"/>
    <w:rsid w:val="005919AF"/>
    <w:rsid w:val="00591EC8"/>
    <w:rsid w:val="00592E1C"/>
    <w:rsid w:val="005931DF"/>
    <w:rsid w:val="005933D1"/>
    <w:rsid w:val="005936CD"/>
    <w:rsid w:val="00593F6A"/>
    <w:rsid w:val="0059418C"/>
    <w:rsid w:val="005942C0"/>
    <w:rsid w:val="005944E8"/>
    <w:rsid w:val="00594D35"/>
    <w:rsid w:val="005953FE"/>
    <w:rsid w:val="005958DC"/>
    <w:rsid w:val="00596E99"/>
    <w:rsid w:val="005A0D2E"/>
    <w:rsid w:val="005A1CDB"/>
    <w:rsid w:val="005A1FD4"/>
    <w:rsid w:val="005A3404"/>
    <w:rsid w:val="005A3472"/>
    <w:rsid w:val="005A3650"/>
    <w:rsid w:val="005A3EC6"/>
    <w:rsid w:val="005A41C8"/>
    <w:rsid w:val="005A4314"/>
    <w:rsid w:val="005A487A"/>
    <w:rsid w:val="005A560C"/>
    <w:rsid w:val="005A61D8"/>
    <w:rsid w:val="005A7025"/>
    <w:rsid w:val="005A7C71"/>
    <w:rsid w:val="005B065B"/>
    <w:rsid w:val="005B0A34"/>
    <w:rsid w:val="005B0A9B"/>
    <w:rsid w:val="005B1248"/>
    <w:rsid w:val="005B238F"/>
    <w:rsid w:val="005B33B2"/>
    <w:rsid w:val="005B4D5F"/>
    <w:rsid w:val="005B5EC7"/>
    <w:rsid w:val="005B6172"/>
    <w:rsid w:val="005B66BD"/>
    <w:rsid w:val="005B7ED1"/>
    <w:rsid w:val="005B7F4F"/>
    <w:rsid w:val="005C010F"/>
    <w:rsid w:val="005C0B98"/>
    <w:rsid w:val="005C120E"/>
    <w:rsid w:val="005C1276"/>
    <w:rsid w:val="005C1520"/>
    <w:rsid w:val="005C1521"/>
    <w:rsid w:val="005C1920"/>
    <w:rsid w:val="005C1AFE"/>
    <w:rsid w:val="005C23AF"/>
    <w:rsid w:val="005C246A"/>
    <w:rsid w:val="005C2DE0"/>
    <w:rsid w:val="005C4F9E"/>
    <w:rsid w:val="005C5469"/>
    <w:rsid w:val="005C5DB4"/>
    <w:rsid w:val="005C64A1"/>
    <w:rsid w:val="005C65F3"/>
    <w:rsid w:val="005C6A3B"/>
    <w:rsid w:val="005C6D27"/>
    <w:rsid w:val="005C796D"/>
    <w:rsid w:val="005D0ADE"/>
    <w:rsid w:val="005D1061"/>
    <w:rsid w:val="005D37AD"/>
    <w:rsid w:val="005D3C54"/>
    <w:rsid w:val="005D3C99"/>
    <w:rsid w:val="005D4BE2"/>
    <w:rsid w:val="005D4F56"/>
    <w:rsid w:val="005D54E4"/>
    <w:rsid w:val="005D5695"/>
    <w:rsid w:val="005D5734"/>
    <w:rsid w:val="005D5E5E"/>
    <w:rsid w:val="005D5FCD"/>
    <w:rsid w:val="005D7212"/>
    <w:rsid w:val="005D7337"/>
    <w:rsid w:val="005D7677"/>
    <w:rsid w:val="005E03E5"/>
    <w:rsid w:val="005E056C"/>
    <w:rsid w:val="005E1726"/>
    <w:rsid w:val="005E2320"/>
    <w:rsid w:val="005E2BBC"/>
    <w:rsid w:val="005E3308"/>
    <w:rsid w:val="005E3312"/>
    <w:rsid w:val="005E388D"/>
    <w:rsid w:val="005E3D74"/>
    <w:rsid w:val="005E4517"/>
    <w:rsid w:val="005E4AA2"/>
    <w:rsid w:val="005E555E"/>
    <w:rsid w:val="005E5740"/>
    <w:rsid w:val="005E5FF9"/>
    <w:rsid w:val="005E6092"/>
    <w:rsid w:val="005E7629"/>
    <w:rsid w:val="005E7717"/>
    <w:rsid w:val="005F020D"/>
    <w:rsid w:val="005F1993"/>
    <w:rsid w:val="005F1C13"/>
    <w:rsid w:val="005F257D"/>
    <w:rsid w:val="005F2729"/>
    <w:rsid w:val="005F2873"/>
    <w:rsid w:val="005F2C8C"/>
    <w:rsid w:val="005F359B"/>
    <w:rsid w:val="005F43A4"/>
    <w:rsid w:val="005F4408"/>
    <w:rsid w:val="005F452A"/>
    <w:rsid w:val="005F5311"/>
    <w:rsid w:val="005F7105"/>
    <w:rsid w:val="0060016F"/>
    <w:rsid w:val="006005B0"/>
    <w:rsid w:val="006014DB"/>
    <w:rsid w:val="006017B9"/>
    <w:rsid w:val="00601DAA"/>
    <w:rsid w:val="006022F6"/>
    <w:rsid w:val="00602983"/>
    <w:rsid w:val="00602E8C"/>
    <w:rsid w:val="0060324C"/>
    <w:rsid w:val="00603B16"/>
    <w:rsid w:val="006059AF"/>
    <w:rsid w:val="00606129"/>
    <w:rsid w:val="0060645B"/>
    <w:rsid w:val="006065BA"/>
    <w:rsid w:val="00607B78"/>
    <w:rsid w:val="0061097A"/>
    <w:rsid w:val="006117CC"/>
    <w:rsid w:val="00612078"/>
    <w:rsid w:val="00612975"/>
    <w:rsid w:val="00614C5D"/>
    <w:rsid w:val="00616734"/>
    <w:rsid w:val="00616C25"/>
    <w:rsid w:val="006178C9"/>
    <w:rsid w:val="006200AE"/>
    <w:rsid w:val="006214D4"/>
    <w:rsid w:val="00621F0A"/>
    <w:rsid w:val="006228F6"/>
    <w:rsid w:val="00622C5A"/>
    <w:rsid w:val="00622C67"/>
    <w:rsid w:val="0062451A"/>
    <w:rsid w:val="00624811"/>
    <w:rsid w:val="00625FE0"/>
    <w:rsid w:val="00626331"/>
    <w:rsid w:val="00627338"/>
    <w:rsid w:val="00627C95"/>
    <w:rsid w:val="0063011A"/>
    <w:rsid w:val="00630E72"/>
    <w:rsid w:val="006310CC"/>
    <w:rsid w:val="00632C49"/>
    <w:rsid w:val="00632CF8"/>
    <w:rsid w:val="00632D4C"/>
    <w:rsid w:val="00634825"/>
    <w:rsid w:val="00634914"/>
    <w:rsid w:val="00635764"/>
    <w:rsid w:val="00636226"/>
    <w:rsid w:val="00636EBA"/>
    <w:rsid w:val="00636EF4"/>
    <w:rsid w:val="00641196"/>
    <w:rsid w:val="00641A34"/>
    <w:rsid w:val="0064330D"/>
    <w:rsid w:val="006451BB"/>
    <w:rsid w:val="006455F7"/>
    <w:rsid w:val="006456C4"/>
    <w:rsid w:val="006459E2"/>
    <w:rsid w:val="00645A3A"/>
    <w:rsid w:val="00645CEB"/>
    <w:rsid w:val="00645E1A"/>
    <w:rsid w:val="00646952"/>
    <w:rsid w:val="006501BF"/>
    <w:rsid w:val="00650455"/>
    <w:rsid w:val="00650BAB"/>
    <w:rsid w:val="006513DA"/>
    <w:rsid w:val="00651528"/>
    <w:rsid w:val="00651C0A"/>
    <w:rsid w:val="00652491"/>
    <w:rsid w:val="00652E01"/>
    <w:rsid w:val="006531C8"/>
    <w:rsid w:val="00653A34"/>
    <w:rsid w:val="006540A6"/>
    <w:rsid w:val="006549D3"/>
    <w:rsid w:val="00656981"/>
    <w:rsid w:val="006570DD"/>
    <w:rsid w:val="006606A1"/>
    <w:rsid w:val="00660DB2"/>
    <w:rsid w:val="006617BE"/>
    <w:rsid w:val="00662306"/>
    <w:rsid w:val="00662F81"/>
    <w:rsid w:val="00664017"/>
    <w:rsid w:val="00665438"/>
    <w:rsid w:val="00667CAF"/>
    <w:rsid w:val="00670989"/>
    <w:rsid w:val="00670C22"/>
    <w:rsid w:val="00670F60"/>
    <w:rsid w:val="00671164"/>
    <w:rsid w:val="00671A9A"/>
    <w:rsid w:val="00671E0C"/>
    <w:rsid w:val="00672FDF"/>
    <w:rsid w:val="0067312D"/>
    <w:rsid w:val="006737BA"/>
    <w:rsid w:val="0067380D"/>
    <w:rsid w:val="0067429F"/>
    <w:rsid w:val="00674505"/>
    <w:rsid w:val="00674A7F"/>
    <w:rsid w:val="0067524A"/>
    <w:rsid w:val="006752B7"/>
    <w:rsid w:val="00675F24"/>
    <w:rsid w:val="006761C4"/>
    <w:rsid w:val="0067621E"/>
    <w:rsid w:val="0067622B"/>
    <w:rsid w:val="00676786"/>
    <w:rsid w:val="00676898"/>
    <w:rsid w:val="00676DD7"/>
    <w:rsid w:val="00677318"/>
    <w:rsid w:val="00677495"/>
    <w:rsid w:val="00681290"/>
    <w:rsid w:val="0068137A"/>
    <w:rsid w:val="00681658"/>
    <w:rsid w:val="00682046"/>
    <w:rsid w:val="00683568"/>
    <w:rsid w:val="00684FE1"/>
    <w:rsid w:val="006850F5"/>
    <w:rsid w:val="00685BD7"/>
    <w:rsid w:val="00686803"/>
    <w:rsid w:val="00687E27"/>
    <w:rsid w:val="006908D8"/>
    <w:rsid w:val="006908DE"/>
    <w:rsid w:val="00690F86"/>
    <w:rsid w:val="00691E75"/>
    <w:rsid w:val="00692323"/>
    <w:rsid w:val="00692344"/>
    <w:rsid w:val="006926DE"/>
    <w:rsid w:val="00692CCE"/>
    <w:rsid w:val="00693629"/>
    <w:rsid w:val="0069370D"/>
    <w:rsid w:val="006944E0"/>
    <w:rsid w:val="0069486E"/>
    <w:rsid w:val="00694F44"/>
    <w:rsid w:val="006963AA"/>
    <w:rsid w:val="00697641"/>
    <w:rsid w:val="00697947"/>
    <w:rsid w:val="00697A9B"/>
    <w:rsid w:val="006A05E1"/>
    <w:rsid w:val="006A1BF6"/>
    <w:rsid w:val="006A24F2"/>
    <w:rsid w:val="006A2506"/>
    <w:rsid w:val="006A286D"/>
    <w:rsid w:val="006A28E6"/>
    <w:rsid w:val="006A2BBC"/>
    <w:rsid w:val="006A2E20"/>
    <w:rsid w:val="006A3CD5"/>
    <w:rsid w:val="006A3EB4"/>
    <w:rsid w:val="006A434B"/>
    <w:rsid w:val="006A5742"/>
    <w:rsid w:val="006A5CB8"/>
    <w:rsid w:val="006A6BDB"/>
    <w:rsid w:val="006A6FF6"/>
    <w:rsid w:val="006A7351"/>
    <w:rsid w:val="006B09E5"/>
    <w:rsid w:val="006B0A60"/>
    <w:rsid w:val="006B12D9"/>
    <w:rsid w:val="006B1BE5"/>
    <w:rsid w:val="006B2363"/>
    <w:rsid w:val="006B4E2B"/>
    <w:rsid w:val="006B54F4"/>
    <w:rsid w:val="006B6521"/>
    <w:rsid w:val="006B6ED3"/>
    <w:rsid w:val="006B77BB"/>
    <w:rsid w:val="006B782B"/>
    <w:rsid w:val="006B7AAB"/>
    <w:rsid w:val="006C016A"/>
    <w:rsid w:val="006C030B"/>
    <w:rsid w:val="006C1210"/>
    <w:rsid w:val="006C31DF"/>
    <w:rsid w:val="006C4B58"/>
    <w:rsid w:val="006C4BC9"/>
    <w:rsid w:val="006C4CD7"/>
    <w:rsid w:val="006C6543"/>
    <w:rsid w:val="006C689B"/>
    <w:rsid w:val="006C6AFA"/>
    <w:rsid w:val="006C721E"/>
    <w:rsid w:val="006C7A8F"/>
    <w:rsid w:val="006C7CE7"/>
    <w:rsid w:val="006D2899"/>
    <w:rsid w:val="006D36C8"/>
    <w:rsid w:val="006D38B6"/>
    <w:rsid w:val="006D4520"/>
    <w:rsid w:val="006D5DCC"/>
    <w:rsid w:val="006D6BE6"/>
    <w:rsid w:val="006D74DD"/>
    <w:rsid w:val="006D79BB"/>
    <w:rsid w:val="006E0ED0"/>
    <w:rsid w:val="006E14E4"/>
    <w:rsid w:val="006E2F5C"/>
    <w:rsid w:val="006E397B"/>
    <w:rsid w:val="006E4B13"/>
    <w:rsid w:val="006E529E"/>
    <w:rsid w:val="006E55C4"/>
    <w:rsid w:val="006E5680"/>
    <w:rsid w:val="006E67A6"/>
    <w:rsid w:val="006E69A1"/>
    <w:rsid w:val="006E6E85"/>
    <w:rsid w:val="006E7213"/>
    <w:rsid w:val="006E771C"/>
    <w:rsid w:val="006E7AFF"/>
    <w:rsid w:val="006F0E7A"/>
    <w:rsid w:val="006F14DA"/>
    <w:rsid w:val="006F15CB"/>
    <w:rsid w:val="006F3191"/>
    <w:rsid w:val="006F327E"/>
    <w:rsid w:val="006F35E3"/>
    <w:rsid w:val="006F3B6B"/>
    <w:rsid w:val="006F4104"/>
    <w:rsid w:val="006F42EC"/>
    <w:rsid w:val="006F58EC"/>
    <w:rsid w:val="006F62B3"/>
    <w:rsid w:val="006F6F95"/>
    <w:rsid w:val="00700E0A"/>
    <w:rsid w:val="00701E3E"/>
    <w:rsid w:val="0070220F"/>
    <w:rsid w:val="00702D75"/>
    <w:rsid w:val="00703CDF"/>
    <w:rsid w:val="00704E69"/>
    <w:rsid w:val="00705D85"/>
    <w:rsid w:val="007064B6"/>
    <w:rsid w:val="00706AE1"/>
    <w:rsid w:val="00706FA9"/>
    <w:rsid w:val="00706FFC"/>
    <w:rsid w:val="0070703A"/>
    <w:rsid w:val="007070A3"/>
    <w:rsid w:val="00707E3E"/>
    <w:rsid w:val="00710047"/>
    <w:rsid w:val="00710110"/>
    <w:rsid w:val="007111CF"/>
    <w:rsid w:val="00711612"/>
    <w:rsid w:val="00712328"/>
    <w:rsid w:val="0071235D"/>
    <w:rsid w:val="00713126"/>
    <w:rsid w:val="007137D8"/>
    <w:rsid w:val="00714306"/>
    <w:rsid w:val="00715533"/>
    <w:rsid w:val="00716C16"/>
    <w:rsid w:val="0072017F"/>
    <w:rsid w:val="00720548"/>
    <w:rsid w:val="007208E6"/>
    <w:rsid w:val="00720ABF"/>
    <w:rsid w:val="0072185C"/>
    <w:rsid w:val="00722B88"/>
    <w:rsid w:val="0072427F"/>
    <w:rsid w:val="00724785"/>
    <w:rsid w:val="00725EA2"/>
    <w:rsid w:val="00727077"/>
    <w:rsid w:val="00727901"/>
    <w:rsid w:val="007304E6"/>
    <w:rsid w:val="00730654"/>
    <w:rsid w:val="0073278D"/>
    <w:rsid w:val="00732DF8"/>
    <w:rsid w:val="00733980"/>
    <w:rsid w:val="00734FBD"/>
    <w:rsid w:val="007352AA"/>
    <w:rsid w:val="0073681C"/>
    <w:rsid w:val="007379EC"/>
    <w:rsid w:val="00737C6D"/>
    <w:rsid w:val="00737DD8"/>
    <w:rsid w:val="0074058F"/>
    <w:rsid w:val="00741475"/>
    <w:rsid w:val="00741F99"/>
    <w:rsid w:val="00742349"/>
    <w:rsid w:val="007433BC"/>
    <w:rsid w:val="00743897"/>
    <w:rsid w:val="0074443E"/>
    <w:rsid w:val="007445A9"/>
    <w:rsid w:val="007451D5"/>
    <w:rsid w:val="00745DD2"/>
    <w:rsid w:val="007476C3"/>
    <w:rsid w:val="00747DEB"/>
    <w:rsid w:val="00750677"/>
    <w:rsid w:val="00750E25"/>
    <w:rsid w:val="0075102F"/>
    <w:rsid w:val="0075160D"/>
    <w:rsid w:val="00751A77"/>
    <w:rsid w:val="00751E6C"/>
    <w:rsid w:val="007520CC"/>
    <w:rsid w:val="0075320C"/>
    <w:rsid w:val="007542A6"/>
    <w:rsid w:val="00754CA9"/>
    <w:rsid w:val="007571F8"/>
    <w:rsid w:val="0075776A"/>
    <w:rsid w:val="0075776C"/>
    <w:rsid w:val="00757A81"/>
    <w:rsid w:val="00757BA9"/>
    <w:rsid w:val="00760404"/>
    <w:rsid w:val="0076124B"/>
    <w:rsid w:val="00762333"/>
    <w:rsid w:val="007624B4"/>
    <w:rsid w:val="00763572"/>
    <w:rsid w:val="00764EEA"/>
    <w:rsid w:val="0076553C"/>
    <w:rsid w:val="00766396"/>
    <w:rsid w:val="007667F0"/>
    <w:rsid w:val="0076689B"/>
    <w:rsid w:val="00766F75"/>
    <w:rsid w:val="00767E86"/>
    <w:rsid w:val="0077069D"/>
    <w:rsid w:val="00771277"/>
    <w:rsid w:val="00771C8C"/>
    <w:rsid w:val="00771E05"/>
    <w:rsid w:val="00772278"/>
    <w:rsid w:val="00772708"/>
    <w:rsid w:val="00773780"/>
    <w:rsid w:val="00774E3D"/>
    <w:rsid w:val="00775973"/>
    <w:rsid w:val="00777D56"/>
    <w:rsid w:val="00780890"/>
    <w:rsid w:val="00780F39"/>
    <w:rsid w:val="007815AB"/>
    <w:rsid w:val="007819DC"/>
    <w:rsid w:val="007847B0"/>
    <w:rsid w:val="0078582D"/>
    <w:rsid w:val="00786AC0"/>
    <w:rsid w:val="007917CD"/>
    <w:rsid w:val="007929AE"/>
    <w:rsid w:val="00793277"/>
    <w:rsid w:val="007943A5"/>
    <w:rsid w:val="00795138"/>
    <w:rsid w:val="00796265"/>
    <w:rsid w:val="00796BD4"/>
    <w:rsid w:val="007A020C"/>
    <w:rsid w:val="007A17C1"/>
    <w:rsid w:val="007A258F"/>
    <w:rsid w:val="007A2CD1"/>
    <w:rsid w:val="007A31EB"/>
    <w:rsid w:val="007A3904"/>
    <w:rsid w:val="007A48C8"/>
    <w:rsid w:val="007A4B36"/>
    <w:rsid w:val="007A4B5D"/>
    <w:rsid w:val="007A5198"/>
    <w:rsid w:val="007A54DB"/>
    <w:rsid w:val="007A581E"/>
    <w:rsid w:val="007A6978"/>
    <w:rsid w:val="007A6F4C"/>
    <w:rsid w:val="007A71A6"/>
    <w:rsid w:val="007B059C"/>
    <w:rsid w:val="007B0A42"/>
    <w:rsid w:val="007B1035"/>
    <w:rsid w:val="007B1E1B"/>
    <w:rsid w:val="007B2854"/>
    <w:rsid w:val="007B2A2E"/>
    <w:rsid w:val="007B2EB5"/>
    <w:rsid w:val="007B4542"/>
    <w:rsid w:val="007B481D"/>
    <w:rsid w:val="007B4E21"/>
    <w:rsid w:val="007B71ED"/>
    <w:rsid w:val="007B7AA6"/>
    <w:rsid w:val="007C0EBD"/>
    <w:rsid w:val="007C0FA8"/>
    <w:rsid w:val="007C10FD"/>
    <w:rsid w:val="007C2E99"/>
    <w:rsid w:val="007C5E69"/>
    <w:rsid w:val="007C66C8"/>
    <w:rsid w:val="007C6AB0"/>
    <w:rsid w:val="007C6C1C"/>
    <w:rsid w:val="007C7334"/>
    <w:rsid w:val="007C7849"/>
    <w:rsid w:val="007D10AE"/>
    <w:rsid w:val="007D1BEB"/>
    <w:rsid w:val="007D231B"/>
    <w:rsid w:val="007D2D24"/>
    <w:rsid w:val="007D328A"/>
    <w:rsid w:val="007D35B9"/>
    <w:rsid w:val="007D43C2"/>
    <w:rsid w:val="007D43DD"/>
    <w:rsid w:val="007D44D4"/>
    <w:rsid w:val="007D4A15"/>
    <w:rsid w:val="007D5584"/>
    <w:rsid w:val="007D589B"/>
    <w:rsid w:val="007D5EB5"/>
    <w:rsid w:val="007D6302"/>
    <w:rsid w:val="007E02EE"/>
    <w:rsid w:val="007E24EE"/>
    <w:rsid w:val="007E2694"/>
    <w:rsid w:val="007E2DCD"/>
    <w:rsid w:val="007E3250"/>
    <w:rsid w:val="007E33F9"/>
    <w:rsid w:val="007E3DB2"/>
    <w:rsid w:val="007E71B3"/>
    <w:rsid w:val="007E74DB"/>
    <w:rsid w:val="007E771C"/>
    <w:rsid w:val="007F01DB"/>
    <w:rsid w:val="007F0D8C"/>
    <w:rsid w:val="007F1D41"/>
    <w:rsid w:val="007F25A1"/>
    <w:rsid w:val="007F27EF"/>
    <w:rsid w:val="007F313A"/>
    <w:rsid w:val="007F3A8A"/>
    <w:rsid w:val="007F425B"/>
    <w:rsid w:val="007F6AEE"/>
    <w:rsid w:val="0080016B"/>
    <w:rsid w:val="00800CBE"/>
    <w:rsid w:val="008027E3"/>
    <w:rsid w:val="0080398A"/>
    <w:rsid w:val="00804856"/>
    <w:rsid w:val="00805265"/>
    <w:rsid w:val="00805583"/>
    <w:rsid w:val="00806135"/>
    <w:rsid w:val="00806E2B"/>
    <w:rsid w:val="0080706D"/>
    <w:rsid w:val="00810C7C"/>
    <w:rsid w:val="00811892"/>
    <w:rsid w:val="00811A30"/>
    <w:rsid w:val="0081298A"/>
    <w:rsid w:val="00812C6E"/>
    <w:rsid w:val="00813DBA"/>
    <w:rsid w:val="008144CD"/>
    <w:rsid w:val="0081464C"/>
    <w:rsid w:val="00814E4B"/>
    <w:rsid w:val="008156EA"/>
    <w:rsid w:val="008161E1"/>
    <w:rsid w:val="0081630B"/>
    <w:rsid w:val="00817650"/>
    <w:rsid w:val="008177B2"/>
    <w:rsid w:val="00820CC3"/>
    <w:rsid w:val="00821918"/>
    <w:rsid w:val="00821D0A"/>
    <w:rsid w:val="0082235F"/>
    <w:rsid w:val="008223C5"/>
    <w:rsid w:val="00823004"/>
    <w:rsid w:val="00824A50"/>
    <w:rsid w:val="00826414"/>
    <w:rsid w:val="00826748"/>
    <w:rsid w:val="00827A41"/>
    <w:rsid w:val="00830183"/>
    <w:rsid w:val="0083197E"/>
    <w:rsid w:val="00831AD9"/>
    <w:rsid w:val="00831B55"/>
    <w:rsid w:val="00831B8F"/>
    <w:rsid w:val="00831C50"/>
    <w:rsid w:val="00832845"/>
    <w:rsid w:val="00832933"/>
    <w:rsid w:val="00832F35"/>
    <w:rsid w:val="00834855"/>
    <w:rsid w:val="008357CC"/>
    <w:rsid w:val="00835B93"/>
    <w:rsid w:val="00835CB4"/>
    <w:rsid w:val="00836C4B"/>
    <w:rsid w:val="008370A6"/>
    <w:rsid w:val="008412B7"/>
    <w:rsid w:val="00841951"/>
    <w:rsid w:val="00842311"/>
    <w:rsid w:val="008434B2"/>
    <w:rsid w:val="00843F7E"/>
    <w:rsid w:val="008451C9"/>
    <w:rsid w:val="00845883"/>
    <w:rsid w:val="008465A5"/>
    <w:rsid w:val="008478E8"/>
    <w:rsid w:val="00847C1F"/>
    <w:rsid w:val="00851F2F"/>
    <w:rsid w:val="008521DC"/>
    <w:rsid w:val="00853475"/>
    <w:rsid w:val="008536BA"/>
    <w:rsid w:val="00855511"/>
    <w:rsid w:val="00855795"/>
    <w:rsid w:val="008562A5"/>
    <w:rsid w:val="00856460"/>
    <w:rsid w:val="008574FF"/>
    <w:rsid w:val="00860902"/>
    <w:rsid w:val="0086114C"/>
    <w:rsid w:val="00861CC7"/>
    <w:rsid w:val="008626BE"/>
    <w:rsid w:val="00863E47"/>
    <w:rsid w:val="00864F22"/>
    <w:rsid w:val="00865A14"/>
    <w:rsid w:val="008662A2"/>
    <w:rsid w:val="00867463"/>
    <w:rsid w:val="00870134"/>
    <w:rsid w:val="00870936"/>
    <w:rsid w:val="0087199D"/>
    <w:rsid w:val="00871AFA"/>
    <w:rsid w:val="00871C7A"/>
    <w:rsid w:val="008730BE"/>
    <w:rsid w:val="0087312B"/>
    <w:rsid w:val="00873E62"/>
    <w:rsid w:val="008742F8"/>
    <w:rsid w:val="008759A2"/>
    <w:rsid w:val="00875A7C"/>
    <w:rsid w:val="00877160"/>
    <w:rsid w:val="008775B8"/>
    <w:rsid w:val="008776F2"/>
    <w:rsid w:val="00877CAB"/>
    <w:rsid w:val="00877DC9"/>
    <w:rsid w:val="00877EAB"/>
    <w:rsid w:val="008804BE"/>
    <w:rsid w:val="00882025"/>
    <w:rsid w:val="00882931"/>
    <w:rsid w:val="00882AEB"/>
    <w:rsid w:val="00882E03"/>
    <w:rsid w:val="00883BAD"/>
    <w:rsid w:val="0088416D"/>
    <w:rsid w:val="008841E0"/>
    <w:rsid w:val="00885BC3"/>
    <w:rsid w:val="00885DAD"/>
    <w:rsid w:val="008864C2"/>
    <w:rsid w:val="00886BEE"/>
    <w:rsid w:val="00887995"/>
    <w:rsid w:val="008908C5"/>
    <w:rsid w:val="008924BA"/>
    <w:rsid w:val="00892AF1"/>
    <w:rsid w:val="00892CB2"/>
    <w:rsid w:val="00892F5F"/>
    <w:rsid w:val="00895FCB"/>
    <w:rsid w:val="00896899"/>
    <w:rsid w:val="008976D3"/>
    <w:rsid w:val="00897CC3"/>
    <w:rsid w:val="008A03DC"/>
    <w:rsid w:val="008A0FE3"/>
    <w:rsid w:val="008A171A"/>
    <w:rsid w:val="008A1F54"/>
    <w:rsid w:val="008A25BB"/>
    <w:rsid w:val="008A2603"/>
    <w:rsid w:val="008A2BE0"/>
    <w:rsid w:val="008A36AB"/>
    <w:rsid w:val="008A39E5"/>
    <w:rsid w:val="008A4B70"/>
    <w:rsid w:val="008A573D"/>
    <w:rsid w:val="008A5A5E"/>
    <w:rsid w:val="008A5D06"/>
    <w:rsid w:val="008A60BD"/>
    <w:rsid w:val="008A7EFB"/>
    <w:rsid w:val="008B07CD"/>
    <w:rsid w:val="008B0A4B"/>
    <w:rsid w:val="008B0EAE"/>
    <w:rsid w:val="008B1158"/>
    <w:rsid w:val="008B3500"/>
    <w:rsid w:val="008B45A6"/>
    <w:rsid w:val="008B4AC0"/>
    <w:rsid w:val="008B4CBE"/>
    <w:rsid w:val="008B6244"/>
    <w:rsid w:val="008B62BF"/>
    <w:rsid w:val="008B68AB"/>
    <w:rsid w:val="008B6E52"/>
    <w:rsid w:val="008B7002"/>
    <w:rsid w:val="008B7647"/>
    <w:rsid w:val="008C01F1"/>
    <w:rsid w:val="008C0730"/>
    <w:rsid w:val="008C124B"/>
    <w:rsid w:val="008C1A74"/>
    <w:rsid w:val="008C1AC0"/>
    <w:rsid w:val="008C244B"/>
    <w:rsid w:val="008C4223"/>
    <w:rsid w:val="008C424C"/>
    <w:rsid w:val="008C502D"/>
    <w:rsid w:val="008C5833"/>
    <w:rsid w:val="008C5922"/>
    <w:rsid w:val="008C5BC5"/>
    <w:rsid w:val="008C5E02"/>
    <w:rsid w:val="008C760F"/>
    <w:rsid w:val="008D0029"/>
    <w:rsid w:val="008D07AD"/>
    <w:rsid w:val="008D2033"/>
    <w:rsid w:val="008D3974"/>
    <w:rsid w:val="008D3F90"/>
    <w:rsid w:val="008D438B"/>
    <w:rsid w:val="008D4BB5"/>
    <w:rsid w:val="008D66FC"/>
    <w:rsid w:val="008D7E21"/>
    <w:rsid w:val="008E06C3"/>
    <w:rsid w:val="008E10AA"/>
    <w:rsid w:val="008E171E"/>
    <w:rsid w:val="008E260B"/>
    <w:rsid w:val="008E36AA"/>
    <w:rsid w:val="008E3DC8"/>
    <w:rsid w:val="008E3DDF"/>
    <w:rsid w:val="008E5868"/>
    <w:rsid w:val="008E685C"/>
    <w:rsid w:val="008E6B4E"/>
    <w:rsid w:val="008E70C2"/>
    <w:rsid w:val="008E715D"/>
    <w:rsid w:val="008E71C4"/>
    <w:rsid w:val="008F039A"/>
    <w:rsid w:val="008F1787"/>
    <w:rsid w:val="008F1BC2"/>
    <w:rsid w:val="008F32FE"/>
    <w:rsid w:val="008F3507"/>
    <w:rsid w:val="008F37BB"/>
    <w:rsid w:val="008F3F70"/>
    <w:rsid w:val="008F4B54"/>
    <w:rsid w:val="008F6411"/>
    <w:rsid w:val="008F6B4A"/>
    <w:rsid w:val="008F70F1"/>
    <w:rsid w:val="008F7390"/>
    <w:rsid w:val="008F7547"/>
    <w:rsid w:val="008F7DBC"/>
    <w:rsid w:val="00900FBE"/>
    <w:rsid w:val="00901E68"/>
    <w:rsid w:val="00901E83"/>
    <w:rsid w:val="009035FA"/>
    <w:rsid w:val="009036B1"/>
    <w:rsid w:val="00903832"/>
    <w:rsid w:val="00903DD4"/>
    <w:rsid w:val="00903F58"/>
    <w:rsid w:val="00904451"/>
    <w:rsid w:val="00904751"/>
    <w:rsid w:val="00904F3D"/>
    <w:rsid w:val="0090649E"/>
    <w:rsid w:val="00906AEC"/>
    <w:rsid w:val="0090735B"/>
    <w:rsid w:val="00907674"/>
    <w:rsid w:val="00907AEF"/>
    <w:rsid w:val="009104CA"/>
    <w:rsid w:val="009109CF"/>
    <w:rsid w:val="00910D9E"/>
    <w:rsid w:val="00911AEC"/>
    <w:rsid w:val="009124EE"/>
    <w:rsid w:val="0091285F"/>
    <w:rsid w:val="00913110"/>
    <w:rsid w:val="00914335"/>
    <w:rsid w:val="00915834"/>
    <w:rsid w:val="00917E29"/>
    <w:rsid w:val="00917EBF"/>
    <w:rsid w:val="00920280"/>
    <w:rsid w:val="00920930"/>
    <w:rsid w:val="0092106C"/>
    <w:rsid w:val="00922C76"/>
    <w:rsid w:val="00924148"/>
    <w:rsid w:val="00924B93"/>
    <w:rsid w:val="00925A4F"/>
    <w:rsid w:val="00927663"/>
    <w:rsid w:val="009279C0"/>
    <w:rsid w:val="0093189D"/>
    <w:rsid w:val="00934B73"/>
    <w:rsid w:val="00935653"/>
    <w:rsid w:val="009360EA"/>
    <w:rsid w:val="0093667A"/>
    <w:rsid w:val="0093703E"/>
    <w:rsid w:val="0093757F"/>
    <w:rsid w:val="0093762A"/>
    <w:rsid w:val="00937A9D"/>
    <w:rsid w:val="00937FE6"/>
    <w:rsid w:val="009420C5"/>
    <w:rsid w:val="009455F6"/>
    <w:rsid w:val="00945A2A"/>
    <w:rsid w:val="0094684D"/>
    <w:rsid w:val="009506D3"/>
    <w:rsid w:val="00950E32"/>
    <w:rsid w:val="009514B4"/>
    <w:rsid w:val="00951D32"/>
    <w:rsid w:val="0095208D"/>
    <w:rsid w:val="009536D0"/>
    <w:rsid w:val="009540F4"/>
    <w:rsid w:val="009546D8"/>
    <w:rsid w:val="00954914"/>
    <w:rsid w:val="0095643A"/>
    <w:rsid w:val="009567E4"/>
    <w:rsid w:val="00956E0E"/>
    <w:rsid w:val="009575DE"/>
    <w:rsid w:val="009579F7"/>
    <w:rsid w:val="00960C94"/>
    <w:rsid w:val="00960E54"/>
    <w:rsid w:val="00961FF4"/>
    <w:rsid w:val="00962691"/>
    <w:rsid w:val="00962D18"/>
    <w:rsid w:val="009633D5"/>
    <w:rsid w:val="00963513"/>
    <w:rsid w:val="00964122"/>
    <w:rsid w:val="009642D1"/>
    <w:rsid w:val="009642DC"/>
    <w:rsid w:val="00964E6E"/>
    <w:rsid w:val="00965C07"/>
    <w:rsid w:val="00967736"/>
    <w:rsid w:val="00970C05"/>
    <w:rsid w:val="009711DC"/>
    <w:rsid w:val="009714DF"/>
    <w:rsid w:val="009714F7"/>
    <w:rsid w:val="00973713"/>
    <w:rsid w:val="00975175"/>
    <w:rsid w:val="009760E6"/>
    <w:rsid w:val="009760FB"/>
    <w:rsid w:val="009763D1"/>
    <w:rsid w:val="009775CC"/>
    <w:rsid w:val="00977664"/>
    <w:rsid w:val="009803AB"/>
    <w:rsid w:val="009803B5"/>
    <w:rsid w:val="00980528"/>
    <w:rsid w:val="00980E15"/>
    <w:rsid w:val="00981650"/>
    <w:rsid w:val="009818D0"/>
    <w:rsid w:val="00981A20"/>
    <w:rsid w:val="009829E8"/>
    <w:rsid w:val="009835DD"/>
    <w:rsid w:val="009836EA"/>
    <w:rsid w:val="009839EE"/>
    <w:rsid w:val="00984AD1"/>
    <w:rsid w:val="00984E1C"/>
    <w:rsid w:val="00984F2C"/>
    <w:rsid w:val="0098545A"/>
    <w:rsid w:val="009860E2"/>
    <w:rsid w:val="009862C8"/>
    <w:rsid w:val="00986836"/>
    <w:rsid w:val="009877CD"/>
    <w:rsid w:val="00991802"/>
    <w:rsid w:val="0099193B"/>
    <w:rsid w:val="00991D61"/>
    <w:rsid w:val="00993495"/>
    <w:rsid w:val="009937BF"/>
    <w:rsid w:val="009945AF"/>
    <w:rsid w:val="00995639"/>
    <w:rsid w:val="00995A02"/>
    <w:rsid w:val="0099642C"/>
    <w:rsid w:val="0099647C"/>
    <w:rsid w:val="009975C4"/>
    <w:rsid w:val="009978DB"/>
    <w:rsid w:val="00997982"/>
    <w:rsid w:val="009A06B6"/>
    <w:rsid w:val="009A0929"/>
    <w:rsid w:val="009A0FA1"/>
    <w:rsid w:val="009A14D3"/>
    <w:rsid w:val="009A292C"/>
    <w:rsid w:val="009A3C5A"/>
    <w:rsid w:val="009A3E7A"/>
    <w:rsid w:val="009A4FF0"/>
    <w:rsid w:val="009A5840"/>
    <w:rsid w:val="009A6374"/>
    <w:rsid w:val="009A7358"/>
    <w:rsid w:val="009A74B0"/>
    <w:rsid w:val="009B2211"/>
    <w:rsid w:val="009B2751"/>
    <w:rsid w:val="009B2A4A"/>
    <w:rsid w:val="009B2E11"/>
    <w:rsid w:val="009B328C"/>
    <w:rsid w:val="009B33F1"/>
    <w:rsid w:val="009B3859"/>
    <w:rsid w:val="009B3ACF"/>
    <w:rsid w:val="009B3E43"/>
    <w:rsid w:val="009B48B9"/>
    <w:rsid w:val="009B4B96"/>
    <w:rsid w:val="009B57A3"/>
    <w:rsid w:val="009B5F35"/>
    <w:rsid w:val="009B682E"/>
    <w:rsid w:val="009B7439"/>
    <w:rsid w:val="009C06E9"/>
    <w:rsid w:val="009C0776"/>
    <w:rsid w:val="009C0BC4"/>
    <w:rsid w:val="009C0DB5"/>
    <w:rsid w:val="009C1060"/>
    <w:rsid w:val="009C1113"/>
    <w:rsid w:val="009C1A84"/>
    <w:rsid w:val="009C20E1"/>
    <w:rsid w:val="009C3C98"/>
    <w:rsid w:val="009C5133"/>
    <w:rsid w:val="009C584B"/>
    <w:rsid w:val="009C5D65"/>
    <w:rsid w:val="009C6232"/>
    <w:rsid w:val="009C688E"/>
    <w:rsid w:val="009C6D77"/>
    <w:rsid w:val="009C70AA"/>
    <w:rsid w:val="009C74B5"/>
    <w:rsid w:val="009C7618"/>
    <w:rsid w:val="009C7790"/>
    <w:rsid w:val="009D0263"/>
    <w:rsid w:val="009D031A"/>
    <w:rsid w:val="009D1CF9"/>
    <w:rsid w:val="009D298C"/>
    <w:rsid w:val="009D4077"/>
    <w:rsid w:val="009D47B9"/>
    <w:rsid w:val="009D5AFF"/>
    <w:rsid w:val="009D6F1A"/>
    <w:rsid w:val="009D7526"/>
    <w:rsid w:val="009D7745"/>
    <w:rsid w:val="009D77C8"/>
    <w:rsid w:val="009D7B10"/>
    <w:rsid w:val="009E0E33"/>
    <w:rsid w:val="009E243C"/>
    <w:rsid w:val="009E260E"/>
    <w:rsid w:val="009E2B2A"/>
    <w:rsid w:val="009E2DA6"/>
    <w:rsid w:val="009E30AD"/>
    <w:rsid w:val="009E337A"/>
    <w:rsid w:val="009E3899"/>
    <w:rsid w:val="009E49E2"/>
    <w:rsid w:val="009E4BCB"/>
    <w:rsid w:val="009E588F"/>
    <w:rsid w:val="009E6B7F"/>
    <w:rsid w:val="009F047F"/>
    <w:rsid w:val="009F1AE5"/>
    <w:rsid w:val="009F33D3"/>
    <w:rsid w:val="009F447E"/>
    <w:rsid w:val="009F4820"/>
    <w:rsid w:val="009F4EC3"/>
    <w:rsid w:val="009F5143"/>
    <w:rsid w:val="009F63A8"/>
    <w:rsid w:val="00A00498"/>
    <w:rsid w:val="00A00972"/>
    <w:rsid w:val="00A00A7D"/>
    <w:rsid w:val="00A00D07"/>
    <w:rsid w:val="00A00E01"/>
    <w:rsid w:val="00A01B57"/>
    <w:rsid w:val="00A02104"/>
    <w:rsid w:val="00A02A3F"/>
    <w:rsid w:val="00A03ADD"/>
    <w:rsid w:val="00A03B73"/>
    <w:rsid w:val="00A041CF"/>
    <w:rsid w:val="00A0457E"/>
    <w:rsid w:val="00A04C74"/>
    <w:rsid w:val="00A05DAF"/>
    <w:rsid w:val="00A05DD1"/>
    <w:rsid w:val="00A05E1B"/>
    <w:rsid w:val="00A07249"/>
    <w:rsid w:val="00A07836"/>
    <w:rsid w:val="00A07BE5"/>
    <w:rsid w:val="00A07F5D"/>
    <w:rsid w:val="00A113E0"/>
    <w:rsid w:val="00A117F4"/>
    <w:rsid w:val="00A12329"/>
    <w:rsid w:val="00A1264F"/>
    <w:rsid w:val="00A137BD"/>
    <w:rsid w:val="00A13D0D"/>
    <w:rsid w:val="00A14293"/>
    <w:rsid w:val="00A149F6"/>
    <w:rsid w:val="00A15132"/>
    <w:rsid w:val="00A15FBA"/>
    <w:rsid w:val="00A163B2"/>
    <w:rsid w:val="00A16C08"/>
    <w:rsid w:val="00A17254"/>
    <w:rsid w:val="00A179B1"/>
    <w:rsid w:val="00A200BA"/>
    <w:rsid w:val="00A20B33"/>
    <w:rsid w:val="00A21241"/>
    <w:rsid w:val="00A2130A"/>
    <w:rsid w:val="00A225B9"/>
    <w:rsid w:val="00A22B80"/>
    <w:rsid w:val="00A235B2"/>
    <w:rsid w:val="00A24A6F"/>
    <w:rsid w:val="00A24A71"/>
    <w:rsid w:val="00A2677D"/>
    <w:rsid w:val="00A2679B"/>
    <w:rsid w:val="00A2717C"/>
    <w:rsid w:val="00A27C8D"/>
    <w:rsid w:val="00A27F78"/>
    <w:rsid w:val="00A307DA"/>
    <w:rsid w:val="00A30AD0"/>
    <w:rsid w:val="00A31881"/>
    <w:rsid w:val="00A31A9C"/>
    <w:rsid w:val="00A31FBC"/>
    <w:rsid w:val="00A32E81"/>
    <w:rsid w:val="00A342EB"/>
    <w:rsid w:val="00A3491D"/>
    <w:rsid w:val="00A351C5"/>
    <w:rsid w:val="00A36720"/>
    <w:rsid w:val="00A377C1"/>
    <w:rsid w:val="00A40570"/>
    <w:rsid w:val="00A4242B"/>
    <w:rsid w:val="00A4250A"/>
    <w:rsid w:val="00A433FC"/>
    <w:rsid w:val="00A44E6B"/>
    <w:rsid w:val="00A45410"/>
    <w:rsid w:val="00A4552D"/>
    <w:rsid w:val="00A463E3"/>
    <w:rsid w:val="00A46700"/>
    <w:rsid w:val="00A4706B"/>
    <w:rsid w:val="00A47174"/>
    <w:rsid w:val="00A505B8"/>
    <w:rsid w:val="00A51EA1"/>
    <w:rsid w:val="00A53832"/>
    <w:rsid w:val="00A54063"/>
    <w:rsid w:val="00A54196"/>
    <w:rsid w:val="00A54801"/>
    <w:rsid w:val="00A5566D"/>
    <w:rsid w:val="00A6005D"/>
    <w:rsid w:val="00A60BFD"/>
    <w:rsid w:val="00A617A7"/>
    <w:rsid w:val="00A641D3"/>
    <w:rsid w:val="00A64262"/>
    <w:rsid w:val="00A649D9"/>
    <w:rsid w:val="00A64A16"/>
    <w:rsid w:val="00A64B1B"/>
    <w:rsid w:val="00A655EC"/>
    <w:rsid w:val="00A656F4"/>
    <w:rsid w:val="00A65C3A"/>
    <w:rsid w:val="00A66205"/>
    <w:rsid w:val="00A67411"/>
    <w:rsid w:val="00A70308"/>
    <w:rsid w:val="00A71B7C"/>
    <w:rsid w:val="00A71D80"/>
    <w:rsid w:val="00A727A5"/>
    <w:rsid w:val="00A732BD"/>
    <w:rsid w:val="00A73D81"/>
    <w:rsid w:val="00A74663"/>
    <w:rsid w:val="00A746C0"/>
    <w:rsid w:val="00A75064"/>
    <w:rsid w:val="00A7570D"/>
    <w:rsid w:val="00A7620C"/>
    <w:rsid w:val="00A7678B"/>
    <w:rsid w:val="00A7712C"/>
    <w:rsid w:val="00A805E9"/>
    <w:rsid w:val="00A814F5"/>
    <w:rsid w:val="00A81612"/>
    <w:rsid w:val="00A816FF"/>
    <w:rsid w:val="00A81ED2"/>
    <w:rsid w:val="00A8237C"/>
    <w:rsid w:val="00A8328F"/>
    <w:rsid w:val="00A83857"/>
    <w:rsid w:val="00A840A2"/>
    <w:rsid w:val="00A840BA"/>
    <w:rsid w:val="00A8447A"/>
    <w:rsid w:val="00A84A74"/>
    <w:rsid w:val="00A84DEE"/>
    <w:rsid w:val="00A84E89"/>
    <w:rsid w:val="00A855B8"/>
    <w:rsid w:val="00A85C31"/>
    <w:rsid w:val="00A85DC3"/>
    <w:rsid w:val="00A86B5C"/>
    <w:rsid w:val="00A86BAF"/>
    <w:rsid w:val="00A8706A"/>
    <w:rsid w:val="00A8752F"/>
    <w:rsid w:val="00A8769C"/>
    <w:rsid w:val="00A877E9"/>
    <w:rsid w:val="00A87E2C"/>
    <w:rsid w:val="00A9018B"/>
    <w:rsid w:val="00A90607"/>
    <w:rsid w:val="00A906DE"/>
    <w:rsid w:val="00A91A62"/>
    <w:rsid w:val="00A9204A"/>
    <w:rsid w:val="00A92CE5"/>
    <w:rsid w:val="00A93579"/>
    <w:rsid w:val="00A93839"/>
    <w:rsid w:val="00A93EB3"/>
    <w:rsid w:val="00A943C4"/>
    <w:rsid w:val="00A94B10"/>
    <w:rsid w:val="00A960F5"/>
    <w:rsid w:val="00A973A2"/>
    <w:rsid w:val="00A9743A"/>
    <w:rsid w:val="00AA0352"/>
    <w:rsid w:val="00AA13A5"/>
    <w:rsid w:val="00AA4C0F"/>
    <w:rsid w:val="00AA6A00"/>
    <w:rsid w:val="00AA6C07"/>
    <w:rsid w:val="00AB10C6"/>
    <w:rsid w:val="00AB1733"/>
    <w:rsid w:val="00AB1A40"/>
    <w:rsid w:val="00AB27C9"/>
    <w:rsid w:val="00AB2C28"/>
    <w:rsid w:val="00AB3303"/>
    <w:rsid w:val="00AB3347"/>
    <w:rsid w:val="00AB4404"/>
    <w:rsid w:val="00AB5AB2"/>
    <w:rsid w:val="00AB63D4"/>
    <w:rsid w:val="00AC13FE"/>
    <w:rsid w:val="00AC1A3E"/>
    <w:rsid w:val="00AC3AF4"/>
    <w:rsid w:val="00AC518D"/>
    <w:rsid w:val="00AC77AF"/>
    <w:rsid w:val="00AC7E13"/>
    <w:rsid w:val="00AD18C1"/>
    <w:rsid w:val="00AD1914"/>
    <w:rsid w:val="00AD276D"/>
    <w:rsid w:val="00AD2989"/>
    <w:rsid w:val="00AD29AE"/>
    <w:rsid w:val="00AD2A31"/>
    <w:rsid w:val="00AD2B48"/>
    <w:rsid w:val="00AD4FEF"/>
    <w:rsid w:val="00AD5B0D"/>
    <w:rsid w:val="00AD683A"/>
    <w:rsid w:val="00AD7731"/>
    <w:rsid w:val="00AD7E4C"/>
    <w:rsid w:val="00AE09FE"/>
    <w:rsid w:val="00AE0C2B"/>
    <w:rsid w:val="00AE11C0"/>
    <w:rsid w:val="00AE2210"/>
    <w:rsid w:val="00AE2FE0"/>
    <w:rsid w:val="00AE30BD"/>
    <w:rsid w:val="00AE3B3B"/>
    <w:rsid w:val="00AE3CEB"/>
    <w:rsid w:val="00AE4868"/>
    <w:rsid w:val="00AE68ED"/>
    <w:rsid w:val="00AE7335"/>
    <w:rsid w:val="00AF0BAC"/>
    <w:rsid w:val="00AF0C8D"/>
    <w:rsid w:val="00AF0CF5"/>
    <w:rsid w:val="00AF1019"/>
    <w:rsid w:val="00AF1FE2"/>
    <w:rsid w:val="00AF2645"/>
    <w:rsid w:val="00AF2AA4"/>
    <w:rsid w:val="00AF31E7"/>
    <w:rsid w:val="00AF322D"/>
    <w:rsid w:val="00AF374F"/>
    <w:rsid w:val="00AF4381"/>
    <w:rsid w:val="00AF5BCC"/>
    <w:rsid w:val="00AF604F"/>
    <w:rsid w:val="00AF73D2"/>
    <w:rsid w:val="00AF7943"/>
    <w:rsid w:val="00B0147A"/>
    <w:rsid w:val="00B016DC"/>
    <w:rsid w:val="00B01700"/>
    <w:rsid w:val="00B0186C"/>
    <w:rsid w:val="00B01BDD"/>
    <w:rsid w:val="00B01E66"/>
    <w:rsid w:val="00B02B01"/>
    <w:rsid w:val="00B02BAF"/>
    <w:rsid w:val="00B0326C"/>
    <w:rsid w:val="00B04453"/>
    <w:rsid w:val="00B049AF"/>
    <w:rsid w:val="00B049FF"/>
    <w:rsid w:val="00B05A8A"/>
    <w:rsid w:val="00B06214"/>
    <w:rsid w:val="00B069DE"/>
    <w:rsid w:val="00B06CAF"/>
    <w:rsid w:val="00B10971"/>
    <w:rsid w:val="00B10E1A"/>
    <w:rsid w:val="00B10FDA"/>
    <w:rsid w:val="00B119D7"/>
    <w:rsid w:val="00B12673"/>
    <w:rsid w:val="00B14428"/>
    <w:rsid w:val="00B14880"/>
    <w:rsid w:val="00B14A3D"/>
    <w:rsid w:val="00B14E66"/>
    <w:rsid w:val="00B14EDB"/>
    <w:rsid w:val="00B16127"/>
    <w:rsid w:val="00B176A3"/>
    <w:rsid w:val="00B2031F"/>
    <w:rsid w:val="00B20AB1"/>
    <w:rsid w:val="00B21055"/>
    <w:rsid w:val="00B21272"/>
    <w:rsid w:val="00B21534"/>
    <w:rsid w:val="00B216E6"/>
    <w:rsid w:val="00B224DF"/>
    <w:rsid w:val="00B2358B"/>
    <w:rsid w:val="00B235D2"/>
    <w:rsid w:val="00B2462E"/>
    <w:rsid w:val="00B256A0"/>
    <w:rsid w:val="00B264B6"/>
    <w:rsid w:val="00B267A2"/>
    <w:rsid w:val="00B26A2C"/>
    <w:rsid w:val="00B26DC5"/>
    <w:rsid w:val="00B26F4B"/>
    <w:rsid w:val="00B271D1"/>
    <w:rsid w:val="00B277D8"/>
    <w:rsid w:val="00B302F7"/>
    <w:rsid w:val="00B3325B"/>
    <w:rsid w:val="00B33DC5"/>
    <w:rsid w:val="00B34CF5"/>
    <w:rsid w:val="00B34F88"/>
    <w:rsid w:val="00B35780"/>
    <w:rsid w:val="00B35B8B"/>
    <w:rsid w:val="00B364AD"/>
    <w:rsid w:val="00B36845"/>
    <w:rsid w:val="00B3710A"/>
    <w:rsid w:val="00B37383"/>
    <w:rsid w:val="00B37625"/>
    <w:rsid w:val="00B376C8"/>
    <w:rsid w:val="00B37917"/>
    <w:rsid w:val="00B37FC4"/>
    <w:rsid w:val="00B400AB"/>
    <w:rsid w:val="00B40321"/>
    <w:rsid w:val="00B416CA"/>
    <w:rsid w:val="00B43595"/>
    <w:rsid w:val="00B4491A"/>
    <w:rsid w:val="00B449D6"/>
    <w:rsid w:val="00B44AF4"/>
    <w:rsid w:val="00B450C5"/>
    <w:rsid w:val="00B453E0"/>
    <w:rsid w:val="00B4557C"/>
    <w:rsid w:val="00B45E26"/>
    <w:rsid w:val="00B468DE"/>
    <w:rsid w:val="00B47B9F"/>
    <w:rsid w:val="00B50881"/>
    <w:rsid w:val="00B514C4"/>
    <w:rsid w:val="00B515FA"/>
    <w:rsid w:val="00B5189C"/>
    <w:rsid w:val="00B51BB2"/>
    <w:rsid w:val="00B5215A"/>
    <w:rsid w:val="00B523B9"/>
    <w:rsid w:val="00B52FC0"/>
    <w:rsid w:val="00B54530"/>
    <w:rsid w:val="00B55BF2"/>
    <w:rsid w:val="00B55C9C"/>
    <w:rsid w:val="00B56E1F"/>
    <w:rsid w:val="00B56F31"/>
    <w:rsid w:val="00B57F84"/>
    <w:rsid w:val="00B60130"/>
    <w:rsid w:val="00B6027B"/>
    <w:rsid w:val="00B60879"/>
    <w:rsid w:val="00B61389"/>
    <w:rsid w:val="00B614AB"/>
    <w:rsid w:val="00B61B5D"/>
    <w:rsid w:val="00B61EF5"/>
    <w:rsid w:val="00B6233C"/>
    <w:rsid w:val="00B638E2"/>
    <w:rsid w:val="00B63B7E"/>
    <w:rsid w:val="00B6495C"/>
    <w:rsid w:val="00B64C9D"/>
    <w:rsid w:val="00B65194"/>
    <w:rsid w:val="00B65A9B"/>
    <w:rsid w:val="00B66664"/>
    <w:rsid w:val="00B666BA"/>
    <w:rsid w:val="00B673AD"/>
    <w:rsid w:val="00B67FAB"/>
    <w:rsid w:val="00B70BAA"/>
    <w:rsid w:val="00B7149D"/>
    <w:rsid w:val="00B72030"/>
    <w:rsid w:val="00B7205A"/>
    <w:rsid w:val="00B72871"/>
    <w:rsid w:val="00B7291B"/>
    <w:rsid w:val="00B73259"/>
    <w:rsid w:val="00B746BF"/>
    <w:rsid w:val="00B74966"/>
    <w:rsid w:val="00B74B4E"/>
    <w:rsid w:val="00B76556"/>
    <w:rsid w:val="00B77AF2"/>
    <w:rsid w:val="00B77C23"/>
    <w:rsid w:val="00B77EC1"/>
    <w:rsid w:val="00B80225"/>
    <w:rsid w:val="00B802F2"/>
    <w:rsid w:val="00B80522"/>
    <w:rsid w:val="00B81AFA"/>
    <w:rsid w:val="00B8238C"/>
    <w:rsid w:val="00B823EE"/>
    <w:rsid w:val="00B8251F"/>
    <w:rsid w:val="00B8256A"/>
    <w:rsid w:val="00B835C8"/>
    <w:rsid w:val="00B8372C"/>
    <w:rsid w:val="00B855BB"/>
    <w:rsid w:val="00B86847"/>
    <w:rsid w:val="00B8698A"/>
    <w:rsid w:val="00B86C77"/>
    <w:rsid w:val="00B87C46"/>
    <w:rsid w:val="00B9194A"/>
    <w:rsid w:val="00B91BB2"/>
    <w:rsid w:val="00B91CA9"/>
    <w:rsid w:val="00B9284F"/>
    <w:rsid w:val="00B9303C"/>
    <w:rsid w:val="00B938DE"/>
    <w:rsid w:val="00B93BFC"/>
    <w:rsid w:val="00B9559D"/>
    <w:rsid w:val="00B955EC"/>
    <w:rsid w:val="00B9602A"/>
    <w:rsid w:val="00B963FE"/>
    <w:rsid w:val="00B973C9"/>
    <w:rsid w:val="00BA191A"/>
    <w:rsid w:val="00BA20BB"/>
    <w:rsid w:val="00BA2765"/>
    <w:rsid w:val="00BA2EF1"/>
    <w:rsid w:val="00BA30DA"/>
    <w:rsid w:val="00BA3260"/>
    <w:rsid w:val="00BA4D0E"/>
    <w:rsid w:val="00BA6698"/>
    <w:rsid w:val="00BA7DFD"/>
    <w:rsid w:val="00BB0164"/>
    <w:rsid w:val="00BB0BA7"/>
    <w:rsid w:val="00BB0DB9"/>
    <w:rsid w:val="00BB0E92"/>
    <w:rsid w:val="00BB1AFC"/>
    <w:rsid w:val="00BB2158"/>
    <w:rsid w:val="00BB2805"/>
    <w:rsid w:val="00BB34C5"/>
    <w:rsid w:val="00BB3B8E"/>
    <w:rsid w:val="00BB4CF2"/>
    <w:rsid w:val="00BB5148"/>
    <w:rsid w:val="00BB585A"/>
    <w:rsid w:val="00BB669E"/>
    <w:rsid w:val="00BB7691"/>
    <w:rsid w:val="00BB7A25"/>
    <w:rsid w:val="00BB7CAC"/>
    <w:rsid w:val="00BC01AB"/>
    <w:rsid w:val="00BC0497"/>
    <w:rsid w:val="00BC078A"/>
    <w:rsid w:val="00BC1265"/>
    <w:rsid w:val="00BC13DF"/>
    <w:rsid w:val="00BC2AC1"/>
    <w:rsid w:val="00BC4006"/>
    <w:rsid w:val="00BC5608"/>
    <w:rsid w:val="00BC615A"/>
    <w:rsid w:val="00BC700A"/>
    <w:rsid w:val="00BD0A04"/>
    <w:rsid w:val="00BD0C84"/>
    <w:rsid w:val="00BD11A5"/>
    <w:rsid w:val="00BD27EC"/>
    <w:rsid w:val="00BD31CF"/>
    <w:rsid w:val="00BD3426"/>
    <w:rsid w:val="00BD39C7"/>
    <w:rsid w:val="00BD3AB5"/>
    <w:rsid w:val="00BD3D9B"/>
    <w:rsid w:val="00BD4363"/>
    <w:rsid w:val="00BD446B"/>
    <w:rsid w:val="00BD5496"/>
    <w:rsid w:val="00BD7ED2"/>
    <w:rsid w:val="00BE2E08"/>
    <w:rsid w:val="00BE369B"/>
    <w:rsid w:val="00BE43FB"/>
    <w:rsid w:val="00BE5B2A"/>
    <w:rsid w:val="00BF0843"/>
    <w:rsid w:val="00BF1347"/>
    <w:rsid w:val="00BF1D2E"/>
    <w:rsid w:val="00BF294D"/>
    <w:rsid w:val="00BF2E42"/>
    <w:rsid w:val="00BF35FF"/>
    <w:rsid w:val="00BF3778"/>
    <w:rsid w:val="00BF3E94"/>
    <w:rsid w:val="00BF4084"/>
    <w:rsid w:val="00BF42B0"/>
    <w:rsid w:val="00BF5ABF"/>
    <w:rsid w:val="00BF62EB"/>
    <w:rsid w:val="00BF65F7"/>
    <w:rsid w:val="00BF717E"/>
    <w:rsid w:val="00BF7303"/>
    <w:rsid w:val="00BF762C"/>
    <w:rsid w:val="00BF7B0C"/>
    <w:rsid w:val="00C01B2E"/>
    <w:rsid w:val="00C024F4"/>
    <w:rsid w:val="00C02F44"/>
    <w:rsid w:val="00C03519"/>
    <w:rsid w:val="00C04512"/>
    <w:rsid w:val="00C0591D"/>
    <w:rsid w:val="00C06EEE"/>
    <w:rsid w:val="00C0712F"/>
    <w:rsid w:val="00C07299"/>
    <w:rsid w:val="00C075CA"/>
    <w:rsid w:val="00C07D22"/>
    <w:rsid w:val="00C11159"/>
    <w:rsid w:val="00C11964"/>
    <w:rsid w:val="00C121AD"/>
    <w:rsid w:val="00C12264"/>
    <w:rsid w:val="00C1252E"/>
    <w:rsid w:val="00C12762"/>
    <w:rsid w:val="00C13E88"/>
    <w:rsid w:val="00C156F6"/>
    <w:rsid w:val="00C15BDB"/>
    <w:rsid w:val="00C15F7F"/>
    <w:rsid w:val="00C16840"/>
    <w:rsid w:val="00C174B1"/>
    <w:rsid w:val="00C21B9B"/>
    <w:rsid w:val="00C22486"/>
    <w:rsid w:val="00C22844"/>
    <w:rsid w:val="00C24CB4"/>
    <w:rsid w:val="00C24FE8"/>
    <w:rsid w:val="00C27C45"/>
    <w:rsid w:val="00C33EB8"/>
    <w:rsid w:val="00C340AD"/>
    <w:rsid w:val="00C35DFC"/>
    <w:rsid w:val="00C35EFC"/>
    <w:rsid w:val="00C36EA8"/>
    <w:rsid w:val="00C3720E"/>
    <w:rsid w:val="00C379C3"/>
    <w:rsid w:val="00C411BD"/>
    <w:rsid w:val="00C41398"/>
    <w:rsid w:val="00C418FA"/>
    <w:rsid w:val="00C41AD0"/>
    <w:rsid w:val="00C4299E"/>
    <w:rsid w:val="00C431CE"/>
    <w:rsid w:val="00C43F40"/>
    <w:rsid w:val="00C4439F"/>
    <w:rsid w:val="00C46EA0"/>
    <w:rsid w:val="00C47023"/>
    <w:rsid w:val="00C50DCF"/>
    <w:rsid w:val="00C518F9"/>
    <w:rsid w:val="00C519FB"/>
    <w:rsid w:val="00C51D3B"/>
    <w:rsid w:val="00C51FAC"/>
    <w:rsid w:val="00C52135"/>
    <w:rsid w:val="00C52727"/>
    <w:rsid w:val="00C5346A"/>
    <w:rsid w:val="00C534F0"/>
    <w:rsid w:val="00C53930"/>
    <w:rsid w:val="00C5401B"/>
    <w:rsid w:val="00C548FB"/>
    <w:rsid w:val="00C5493B"/>
    <w:rsid w:val="00C54B0A"/>
    <w:rsid w:val="00C5527F"/>
    <w:rsid w:val="00C55584"/>
    <w:rsid w:val="00C57357"/>
    <w:rsid w:val="00C57364"/>
    <w:rsid w:val="00C57AD8"/>
    <w:rsid w:val="00C57AF8"/>
    <w:rsid w:val="00C600AE"/>
    <w:rsid w:val="00C606B5"/>
    <w:rsid w:val="00C61FC8"/>
    <w:rsid w:val="00C62E90"/>
    <w:rsid w:val="00C630D0"/>
    <w:rsid w:val="00C6377A"/>
    <w:rsid w:val="00C63E02"/>
    <w:rsid w:val="00C64396"/>
    <w:rsid w:val="00C663F1"/>
    <w:rsid w:val="00C66CAB"/>
    <w:rsid w:val="00C66FDA"/>
    <w:rsid w:val="00C670F5"/>
    <w:rsid w:val="00C67CE3"/>
    <w:rsid w:val="00C7021B"/>
    <w:rsid w:val="00C70472"/>
    <w:rsid w:val="00C706C1"/>
    <w:rsid w:val="00C7171C"/>
    <w:rsid w:val="00C71975"/>
    <w:rsid w:val="00C71AC6"/>
    <w:rsid w:val="00C72D0F"/>
    <w:rsid w:val="00C737CB"/>
    <w:rsid w:val="00C7396E"/>
    <w:rsid w:val="00C73BCD"/>
    <w:rsid w:val="00C74554"/>
    <w:rsid w:val="00C74FB5"/>
    <w:rsid w:val="00C75512"/>
    <w:rsid w:val="00C76C38"/>
    <w:rsid w:val="00C76E00"/>
    <w:rsid w:val="00C77019"/>
    <w:rsid w:val="00C7748D"/>
    <w:rsid w:val="00C77669"/>
    <w:rsid w:val="00C80D7C"/>
    <w:rsid w:val="00C82870"/>
    <w:rsid w:val="00C828EE"/>
    <w:rsid w:val="00C82A71"/>
    <w:rsid w:val="00C82AF5"/>
    <w:rsid w:val="00C82C45"/>
    <w:rsid w:val="00C84EDB"/>
    <w:rsid w:val="00C8526B"/>
    <w:rsid w:val="00C85E1E"/>
    <w:rsid w:val="00C86372"/>
    <w:rsid w:val="00C86D27"/>
    <w:rsid w:val="00C870B0"/>
    <w:rsid w:val="00C8714B"/>
    <w:rsid w:val="00C87C33"/>
    <w:rsid w:val="00C904E0"/>
    <w:rsid w:val="00C91D78"/>
    <w:rsid w:val="00C92226"/>
    <w:rsid w:val="00C923EB"/>
    <w:rsid w:val="00C9372D"/>
    <w:rsid w:val="00C9383B"/>
    <w:rsid w:val="00C93B25"/>
    <w:rsid w:val="00C94864"/>
    <w:rsid w:val="00C94CBC"/>
    <w:rsid w:val="00C952F4"/>
    <w:rsid w:val="00C95672"/>
    <w:rsid w:val="00C95B14"/>
    <w:rsid w:val="00C96E1A"/>
    <w:rsid w:val="00C96E8E"/>
    <w:rsid w:val="00C97204"/>
    <w:rsid w:val="00C97310"/>
    <w:rsid w:val="00C97367"/>
    <w:rsid w:val="00C9767F"/>
    <w:rsid w:val="00C977C9"/>
    <w:rsid w:val="00CA107A"/>
    <w:rsid w:val="00CA1278"/>
    <w:rsid w:val="00CA1901"/>
    <w:rsid w:val="00CA19D4"/>
    <w:rsid w:val="00CA31FD"/>
    <w:rsid w:val="00CA3B10"/>
    <w:rsid w:val="00CA4B74"/>
    <w:rsid w:val="00CA4C99"/>
    <w:rsid w:val="00CA5873"/>
    <w:rsid w:val="00CA5A7E"/>
    <w:rsid w:val="00CA6470"/>
    <w:rsid w:val="00CB17C3"/>
    <w:rsid w:val="00CB1894"/>
    <w:rsid w:val="00CB1BCE"/>
    <w:rsid w:val="00CB1FC8"/>
    <w:rsid w:val="00CB31A4"/>
    <w:rsid w:val="00CB4863"/>
    <w:rsid w:val="00CB545F"/>
    <w:rsid w:val="00CB5BBE"/>
    <w:rsid w:val="00CB7F6B"/>
    <w:rsid w:val="00CC0173"/>
    <w:rsid w:val="00CC199D"/>
    <w:rsid w:val="00CC1F9E"/>
    <w:rsid w:val="00CC289F"/>
    <w:rsid w:val="00CC2CC2"/>
    <w:rsid w:val="00CC37A4"/>
    <w:rsid w:val="00CC3917"/>
    <w:rsid w:val="00CC3B8B"/>
    <w:rsid w:val="00CC3C16"/>
    <w:rsid w:val="00CC407B"/>
    <w:rsid w:val="00CC4ADF"/>
    <w:rsid w:val="00CC4D25"/>
    <w:rsid w:val="00CC5315"/>
    <w:rsid w:val="00CC548E"/>
    <w:rsid w:val="00CC588A"/>
    <w:rsid w:val="00CC5EC9"/>
    <w:rsid w:val="00CC6FB5"/>
    <w:rsid w:val="00CC7148"/>
    <w:rsid w:val="00CC7A87"/>
    <w:rsid w:val="00CD0F57"/>
    <w:rsid w:val="00CD1884"/>
    <w:rsid w:val="00CD26E1"/>
    <w:rsid w:val="00CD3218"/>
    <w:rsid w:val="00CD558F"/>
    <w:rsid w:val="00CD59F1"/>
    <w:rsid w:val="00CD73A1"/>
    <w:rsid w:val="00CD7FAE"/>
    <w:rsid w:val="00CE03EE"/>
    <w:rsid w:val="00CE360E"/>
    <w:rsid w:val="00CE40BB"/>
    <w:rsid w:val="00CE4A2E"/>
    <w:rsid w:val="00CE4F4D"/>
    <w:rsid w:val="00CE7411"/>
    <w:rsid w:val="00CE78BA"/>
    <w:rsid w:val="00CF0EC8"/>
    <w:rsid w:val="00CF1260"/>
    <w:rsid w:val="00CF1C57"/>
    <w:rsid w:val="00CF2398"/>
    <w:rsid w:val="00CF27E1"/>
    <w:rsid w:val="00CF2838"/>
    <w:rsid w:val="00CF2C31"/>
    <w:rsid w:val="00CF3FB2"/>
    <w:rsid w:val="00CF6AA6"/>
    <w:rsid w:val="00CF7480"/>
    <w:rsid w:val="00CF74C1"/>
    <w:rsid w:val="00CF7874"/>
    <w:rsid w:val="00CF7A65"/>
    <w:rsid w:val="00D005C3"/>
    <w:rsid w:val="00D00B3C"/>
    <w:rsid w:val="00D00C4B"/>
    <w:rsid w:val="00D0132B"/>
    <w:rsid w:val="00D02D10"/>
    <w:rsid w:val="00D02D70"/>
    <w:rsid w:val="00D03FA0"/>
    <w:rsid w:val="00D04327"/>
    <w:rsid w:val="00D05292"/>
    <w:rsid w:val="00D057B2"/>
    <w:rsid w:val="00D059DB"/>
    <w:rsid w:val="00D05A66"/>
    <w:rsid w:val="00D05D13"/>
    <w:rsid w:val="00D0613C"/>
    <w:rsid w:val="00D0696F"/>
    <w:rsid w:val="00D07C39"/>
    <w:rsid w:val="00D07CCD"/>
    <w:rsid w:val="00D07FB1"/>
    <w:rsid w:val="00D105ED"/>
    <w:rsid w:val="00D107ED"/>
    <w:rsid w:val="00D11AB8"/>
    <w:rsid w:val="00D11ABC"/>
    <w:rsid w:val="00D11B78"/>
    <w:rsid w:val="00D11CE4"/>
    <w:rsid w:val="00D12088"/>
    <w:rsid w:val="00D12344"/>
    <w:rsid w:val="00D12E57"/>
    <w:rsid w:val="00D13BA0"/>
    <w:rsid w:val="00D146B7"/>
    <w:rsid w:val="00D14C40"/>
    <w:rsid w:val="00D14E26"/>
    <w:rsid w:val="00D15F3B"/>
    <w:rsid w:val="00D1653E"/>
    <w:rsid w:val="00D169B4"/>
    <w:rsid w:val="00D170C4"/>
    <w:rsid w:val="00D173EA"/>
    <w:rsid w:val="00D1779F"/>
    <w:rsid w:val="00D179D6"/>
    <w:rsid w:val="00D20BB9"/>
    <w:rsid w:val="00D20BD4"/>
    <w:rsid w:val="00D20EE8"/>
    <w:rsid w:val="00D21140"/>
    <w:rsid w:val="00D21669"/>
    <w:rsid w:val="00D2203A"/>
    <w:rsid w:val="00D23B0E"/>
    <w:rsid w:val="00D244DC"/>
    <w:rsid w:val="00D25CF4"/>
    <w:rsid w:val="00D26253"/>
    <w:rsid w:val="00D27A11"/>
    <w:rsid w:val="00D27B8B"/>
    <w:rsid w:val="00D27FF9"/>
    <w:rsid w:val="00D3057A"/>
    <w:rsid w:val="00D31E27"/>
    <w:rsid w:val="00D3206F"/>
    <w:rsid w:val="00D324A4"/>
    <w:rsid w:val="00D32CF8"/>
    <w:rsid w:val="00D330AC"/>
    <w:rsid w:val="00D334BC"/>
    <w:rsid w:val="00D346A8"/>
    <w:rsid w:val="00D3520C"/>
    <w:rsid w:val="00D36CE3"/>
    <w:rsid w:val="00D377CD"/>
    <w:rsid w:val="00D37EA3"/>
    <w:rsid w:val="00D41569"/>
    <w:rsid w:val="00D4168C"/>
    <w:rsid w:val="00D4185F"/>
    <w:rsid w:val="00D43990"/>
    <w:rsid w:val="00D43F85"/>
    <w:rsid w:val="00D455CF"/>
    <w:rsid w:val="00D45EE8"/>
    <w:rsid w:val="00D461E5"/>
    <w:rsid w:val="00D46423"/>
    <w:rsid w:val="00D470E5"/>
    <w:rsid w:val="00D4750B"/>
    <w:rsid w:val="00D47B9A"/>
    <w:rsid w:val="00D47BA2"/>
    <w:rsid w:val="00D5002C"/>
    <w:rsid w:val="00D524AD"/>
    <w:rsid w:val="00D540F8"/>
    <w:rsid w:val="00D557ED"/>
    <w:rsid w:val="00D55909"/>
    <w:rsid w:val="00D57111"/>
    <w:rsid w:val="00D574CF"/>
    <w:rsid w:val="00D61311"/>
    <w:rsid w:val="00D6216C"/>
    <w:rsid w:val="00D62A19"/>
    <w:rsid w:val="00D63831"/>
    <w:rsid w:val="00D64D0F"/>
    <w:rsid w:val="00D6574A"/>
    <w:rsid w:val="00D676DF"/>
    <w:rsid w:val="00D701E3"/>
    <w:rsid w:val="00D702CF"/>
    <w:rsid w:val="00D70344"/>
    <w:rsid w:val="00D703E1"/>
    <w:rsid w:val="00D70EFD"/>
    <w:rsid w:val="00D71615"/>
    <w:rsid w:val="00D71CCB"/>
    <w:rsid w:val="00D73963"/>
    <w:rsid w:val="00D73D0B"/>
    <w:rsid w:val="00D74BC0"/>
    <w:rsid w:val="00D75438"/>
    <w:rsid w:val="00D7576E"/>
    <w:rsid w:val="00D75EBA"/>
    <w:rsid w:val="00D76134"/>
    <w:rsid w:val="00D76797"/>
    <w:rsid w:val="00D806BB"/>
    <w:rsid w:val="00D81425"/>
    <w:rsid w:val="00D8232C"/>
    <w:rsid w:val="00D82F97"/>
    <w:rsid w:val="00D83AE0"/>
    <w:rsid w:val="00D846B9"/>
    <w:rsid w:val="00D84B51"/>
    <w:rsid w:val="00D84C1F"/>
    <w:rsid w:val="00D85219"/>
    <w:rsid w:val="00D85522"/>
    <w:rsid w:val="00D85F55"/>
    <w:rsid w:val="00D86528"/>
    <w:rsid w:val="00D8699A"/>
    <w:rsid w:val="00D86B19"/>
    <w:rsid w:val="00D87015"/>
    <w:rsid w:val="00D8716B"/>
    <w:rsid w:val="00D87705"/>
    <w:rsid w:val="00D87E2D"/>
    <w:rsid w:val="00D87F09"/>
    <w:rsid w:val="00D901CC"/>
    <w:rsid w:val="00D906CB"/>
    <w:rsid w:val="00D91484"/>
    <w:rsid w:val="00D91488"/>
    <w:rsid w:val="00D916DC"/>
    <w:rsid w:val="00D918A7"/>
    <w:rsid w:val="00D9306F"/>
    <w:rsid w:val="00D934A6"/>
    <w:rsid w:val="00D934A8"/>
    <w:rsid w:val="00D93799"/>
    <w:rsid w:val="00D93B31"/>
    <w:rsid w:val="00D94773"/>
    <w:rsid w:val="00D94AA6"/>
    <w:rsid w:val="00D94EC0"/>
    <w:rsid w:val="00D9530B"/>
    <w:rsid w:val="00D95664"/>
    <w:rsid w:val="00D95702"/>
    <w:rsid w:val="00D95D36"/>
    <w:rsid w:val="00D966CD"/>
    <w:rsid w:val="00D968B1"/>
    <w:rsid w:val="00D96B6E"/>
    <w:rsid w:val="00D9749C"/>
    <w:rsid w:val="00D97DC3"/>
    <w:rsid w:val="00DA01FE"/>
    <w:rsid w:val="00DA02F8"/>
    <w:rsid w:val="00DA19AD"/>
    <w:rsid w:val="00DA3F67"/>
    <w:rsid w:val="00DA724C"/>
    <w:rsid w:val="00DA76F7"/>
    <w:rsid w:val="00DA7FDC"/>
    <w:rsid w:val="00DB0796"/>
    <w:rsid w:val="00DB0D04"/>
    <w:rsid w:val="00DB0D6D"/>
    <w:rsid w:val="00DB0E4E"/>
    <w:rsid w:val="00DB1A6B"/>
    <w:rsid w:val="00DB2010"/>
    <w:rsid w:val="00DB220E"/>
    <w:rsid w:val="00DB3E5A"/>
    <w:rsid w:val="00DB5390"/>
    <w:rsid w:val="00DB58EA"/>
    <w:rsid w:val="00DB59B6"/>
    <w:rsid w:val="00DB6BFB"/>
    <w:rsid w:val="00DB7BCD"/>
    <w:rsid w:val="00DB7D2A"/>
    <w:rsid w:val="00DC0673"/>
    <w:rsid w:val="00DC0989"/>
    <w:rsid w:val="00DC0DC7"/>
    <w:rsid w:val="00DC2AF5"/>
    <w:rsid w:val="00DC2B77"/>
    <w:rsid w:val="00DC3522"/>
    <w:rsid w:val="00DC45AD"/>
    <w:rsid w:val="00DC46DC"/>
    <w:rsid w:val="00DC4A8B"/>
    <w:rsid w:val="00DC53EE"/>
    <w:rsid w:val="00DC6C0F"/>
    <w:rsid w:val="00DC6F7D"/>
    <w:rsid w:val="00DC7409"/>
    <w:rsid w:val="00DC7A60"/>
    <w:rsid w:val="00DD0F2F"/>
    <w:rsid w:val="00DD1792"/>
    <w:rsid w:val="00DD1883"/>
    <w:rsid w:val="00DD3FFA"/>
    <w:rsid w:val="00DD497F"/>
    <w:rsid w:val="00DD52A9"/>
    <w:rsid w:val="00DD5F4E"/>
    <w:rsid w:val="00DD691B"/>
    <w:rsid w:val="00DD724A"/>
    <w:rsid w:val="00DD7261"/>
    <w:rsid w:val="00DE06B9"/>
    <w:rsid w:val="00DE164D"/>
    <w:rsid w:val="00DE246A"/>
    <w:rsid w:val="00DE28E4"/>
    <w:rsid w:val="00DE318E"/>
    <w:rsid w:val="00DE3672"/>
    <w:rsid w:val="00DE3722"/>
    <w:rsid w:val="00DE3851"/>
    <w:rsid w:val="00DE3981"/>
    <w:rsid w:val="00DE4887"/>
    <w:rsid w:val="00DE4952"/>
    <w:rsid w:val="00DE5410"/>
    <w:rsid w:val="00DE5A51"/>
    <w:rsid w:val="00DE6208"/>
    <w:rsid w:val="00DE6F46"/>
    <w:rsid w:val="00DE7684"/>
    <w:rsid w:val="00DF0870"/>
    <w:rsid w:val="00DF25DB"/>
    <w:rsid w:val="00DF3311"/>
    <w:rsid w:val="00DF4E1B"/>
    <w:rsid w:val="00DF53C5"/>
    <w:rsid w:val="00DF5548"/>
    <w:rsid w:val="00DF56D7"/>
    <w:rsid w:val="00DF5C2A"/>
    <w:rsid w:val="00DF657F"/>
    <w:rsid w:val="00DF6D9D"/>
    <w:rsid w:val="00DF7023"/>
    <w:rsid w:val="00DF73CC"/>
    <w:rsid w:val="00E0049C"/>
    <w:rsid w:val="00E00D46"/>
    <w:rsid w:val="00E01098"/>
    <w:rsid w:val="00E010A8"/>
    <w:rsid w:val="00E015F3"/>
    <w:rsid w:val="00E015FB"/>
    <w:rsid w:val="00E0160F"/>
    <w:rsid w:val="00E017F3"/>
    <w:rsid w:val="00E044A6"/>
    <w:rsid w:val="00E04AF6"/>
    <w:rsid w:val="00E04F88"/>
    <w:rsid w:val="00E05190"/>
    <w:rsid w:val="00E05246"/>
    <w:rsid w:val="00E05DDC"/>
    <w:rsid w:val="00E05F01"/>
    <w:rsid w:val="00E07423"/>
    <w:rsid w:val="00E079B3"/>
    <w:rsid w:val="00E079EA"/>
    <w:rsid w:val="00E07EF5"/>
    <w:rsid w:val="00E107A9"/>
    <w:rsid w:val="00E1265F"/>
    <w:rsid w:val="00E14890"/>
    <w:rsid w:val="00E149C6"/>
    <w:rsid w:val="00E14D01"/>
    <w:rsid w:val="00E15B8F"/>
    <w:rsid w:val="00E16134"/>
    <w:rsid w:val="00E1623C"/>
    <w:rsid w:val="00E16539"/>
    <w:rsid w:val="00E166ED"/>
    <w:rsid w:val="00E16B44"/>
    <w:rsid w:val="00E172E7"/>
    <w:rsid w:val="00E203DD"/>
    <w:rsid w:val="00E21007"/>
    <w:rsid w:val="00E21193"/>
    <w:rsid w:val="00E212E9"/>
    <w:rsid w:val="00E22806"/>
    <w:rsid w:val="00E22DA4"/>
    <w:rsid w:val="00E22DCA"/>
    <w:rsid w:val="00E237C6"/>
    <w:rsid w:val="00E25760"/>
    <w:rsid w:val="00E26F9D"/>
    <w:rsid w:val="00E312D0"/>
    <w:rsid w:val="00E32606"/>
    <w:rsid w:val="00E33C6F"/>
    <w:rsid w:val="00E34951"/>
    <w:rsid w:val="00E37970"/>
    <w:rsid w:val="00E379C0"/>
    <w:rsid w:val="00E40194"/>
    <w:rsid w:val="00E4053B"/>
    <w:rsid w:val="00E41BAC"/>
    <w:rsid w:val="00E41DB7"/>
    <w:rsid w:val="00E41F2B"/>
    <w:rsid w:val="00E42135"/>
    <w:rsid w:val="00E43E10"/>
    <w:rsid w:val="00E4488D"/>
    <w:rsid w:val="00E44A01"/>
    <w:rsid w:val="00E454EA"/>
    <w:rsid w:val="00E45985"/>
    <w:rsid w:val="00E4675E"/>
    <w:rsid w:val="00E474E2"/>
    <w:rsid w:val="00E5007D"/>
    <w:rsid w:val="00E50198"/>
    <w:rsid w:val="00E5129A"/>
    <w:rsid w:val="00E513F0"/>
    <w:rsid w:val="00E52A69"/>
    <w:rsid w:val="00E5301C"/>
    <w:rsid w:val="00E54FF2"/>
    <w:rsid w:val="00E56BC9"/>
    <w:rsid w:val="00E5734D"/>
    <w:rsid w:val="00E57352"/>
    <w:rsid w:val="00E57680"/>
    <w:rsid w:val="00E57A1A"/>
    <w:rsid w:val="00E57BCA"/>
    <w:rsid w:val="00E603B6"/>
    <w:rsid w:val="00E60536"/>
    <w:rsid w:val="00E60BFA"/>
    <w:rsid w:val="00E62684"/>
    <w:rsid w:val="00E6322B"/>
    <w:rsid w:val="00E642BD"/>
    <w:rsid w:val="00E647D8"/>
    <w:rsid w:val="00E66452"/>
    <w:rsid w:val="00E668F0"/>
    <w:rsid w:val="00E67ACA"/>
    <w:rsid w:val="00E67BF4"/>
    <w:rsid w:val="00E701CE"/>
    <w:rsid w:val="00E701E2"/>
    <w:rsid w:val="00E7133C"/>
    <w:rsid w:val="00E72E48"/>
    <w:rsid w:val="00E73322"/>
    <w:rsid w:val="00E73947"/>
    <w:rsid w:val="00E74024"/>
    <w:rsid w:val="00E748FA"/>
    <w:rsid w:val="00E74C99"/>
    <w:rsid w:val="00E74DE7"/>
    <w:rsid w:val="00E74EA1"/>
    <w:rsid w:val="00E7507D"/>
    <w:rsid w:val="00E759C0"/>
    <w:rsid w:val="00E7752A"/>
    <w:rsid w:val="00E77BF4"/>
    <w:rsid w:val="00E80A60"/>
    <w:rsid w:val="00E80CD1"/>
    <w:rsid w:val="00E81342"/>
    <w:rsid w:val="00E81F0B"/>
    <w:rsid w:val="00E84538"/>
    <w:rsid w:val="00E852CA"/>
    <w:rsid w:val="00E853F5"/>
    <w:rsid w:val="00E858BE"/>
    <w:rsid w:val="00E86E78"/>
    <w:rsid w:val="00E875F7"/>
    <w:rsid w:val="00E87616"/>
    <w:rsid w:val="00E87D45"/>
    <w:rsid w:val="00E90529"/>
    <w:rsid w:val="00E90C00"/>
    <w:rsid w:val="00E91976"/>
    <w:rsid w:val="00E920AC"/>
    <w:rsid w:val="00E92615"/>
    <w:rsid w:val="00E9263C"/>
    <w:rsid w:val="00E92791"/>
    <w:rsid w:val="00E93B8E"/>
    <w:rsid w:val="00E94C6D"/>
    <w:rsid w:val="00E957AC"/>
    <w:rsid w:val="00E97738"/>
    <w:rsid w:val="00E97965"/>
    <w:rsid w:val="00E97A72"/>
    <w:rsid w:val="00EA27FB"/>
    <w:rsid w:val="00EA394D"/>
    <w:rsid w:val="00EA6544"/>
    <w:rsid w:val="00EA7238"/>
    <w:rsid w:val="00EB003C"/>
    <w:rsid w:val="00EB00E5"/>
    <w:rsid w:val="00EB06F5"/>
    <w:rsid w:val="00EB1B99"/>
    <w:rsid w:val="00EB2C25"/>
    <w:rsid w:val="00EB2FC4"/>
    <w:rsid w:val="00EB325C"/>
    <w:rsid w:val="00EB3DFD"/>
    <w:rsid w:val="00EB4476"/>
    <w:rsid w:val="00EB5DFA"/>
    <w:rsid w:val="00EB70D7"/>
    <w:rsid w:val="00EB711D"/>
    <w:rsid w:val="00EB73B8"/>
    <w:rsid w:val="00EB7D31"/>
    <w:rsid w:val="00EC243C"/>
    <w:rsid w:val="00EC265B"/>
    <w:rsid w:val="00EC28FC"/>
    <w:rsid w:val="00EC32B8"/>
    <w:rsid w:val="00EC455B"/>
    <w:rsid w:val="00EC4767"/>
    <w:rsid w:val="00EC490A"/>
    <w:rsid w:val="00EC4DA9"/>
    <w:rsid w:val="00EC63D2"/>
    <w:rsid w:val="00EC7306"/>
    <w:rsid w:val="00EC7829"/>
    <w:rsid w:val="00EC7E73"/>
    <w:rsid w:val="00ED0B4E"/>
    <w:rsid w:val="00ED15B7"/>
    <w:rsid w:val="00ED1E4B"/>
    <w:rsid w:val="00ED2762"/>
    <w:rsid w:val="00ED3098"/>
    <w:rsid w:val="00ED3C4C"/>
    <w:rsid w:val="00ED3D66"/>
    <w:rsid w:val="00ED4D97"/>
    <w:rsid w:val="00ED4EA4"/>
    <w:rsid w:val="00ED5165"/>
    <w:rsid w:val="00ED5B08"/>
    <w:rsid w:val="00ED68AD"/>
    <w:rsid w:val="00ED70EA"/>
    <w:rsid w:val="00EE0452"/>
    <w:rsid w:val="00EE08F1"/>
    <w:rsid w:val="00EE0A14"/>
    <w:rsid w:val="00EE0EC6"/>
    <w:rsid w:val="00EE25A4"/>
    <w:rsid w:val="00EE398E"/>
    <w:rsid w:val="00EE4BC2"/>
    <w:rsid w:val="00EE5360"/>
    <w:rsid w:val="00EE5879"/>
    <w:rsid w:val="00EF1F54"/>
    <w:rsid w:val="00EF2257"/>
    <w:rsid w:val="00EF3095"/>
    <w:rsid w:val="00EF4433"/>
    <w:rsid w:val="00EF4C2C"/>
    <w:rsid w:val="00EF50FD"/>
    <w:rsid w:val="00EF5791"/>
    <w:rsid w:val="00EF5969"/>
    <w:rsid w:val="00EF65F3"/>
    <w:rsid w:val="00EF6773"/>
    <w:rsid w:val="00EF7194"/>
    <w:rsid w:val="00EF76F7"/>
    <w:rsid w:val="00F00AD3"/>
    <w:rsid w:val="00F029C0"/>
    <w:rsid w:val="00F029D7"/>
    <w:rsid w:val="00F033DB"/>
    <w:rsid w:val="00F039F6"/>
    <w:rsid w:val="00F03DBE"/>
    <w:rsid w:val="00F03E6C"/>
    <w:rsid w:val="00F04A07"/>
    <w:rsid w:val="00F04A9C"/>
    <w:rsid w:val="00F04D36"/>
    <w:rsid w:val="00F06388"/>
    <w:rsid w:val="00F071CC"/>
    <w:rsid w:val="00F077D4"/>
    <w:rsid w:val="00F07838"/>
    <w:rsid w:val="00F07AE0"/>
    <w:rsid w:val="00F1141A"/>
    <w:rsid w:val="00F11C3F"/>
    <w:rsid w:val="00F11F0C"/>
    <w:rsid w:val="00F1258D"/>
    <w:rsid w:val="00F12E02"/>
    <w:rsid w:val="00F13152"/>
    <w:rsid w:val="00F13C39"/>
    <w:rsid w:val="00F151EF"/>
    <w:rsid w:val="00F15AD8"/>
    <w:rsid w:val="00F1667C"/>
    <w:rsid w:val="00F16829"/>
    <w:rsid w:val="00F16933"/>
    <w:rsid w:val="00F16D00"/>
    <w:rsid w:val="00F173A9"/>
    <w:rsid w:val="00F17721"/>
    <w:rsid w:val="00F17C65"/>
    <w:rsid w:val="00F17F38"/>
    <w:rsid w:val="00F20B81"/>
    <w:rsid w:val="00F21729"/>
    <w:rsid w:val="00F22133"/>
    <w:rsid w:val="00F23A6C"/>
    <w:rsid w:val="00F23DB2"/>
    <w:rsid w:val="00F23EC8"/>
    <w:rsid w:val="00F241AD"/>
    <w:rsid w:val="00F247D2"/>
    <w:rsid w:val="00F24E07"/>
    <w:rsid w:val="00F25EBD"/>
    <w:rsid w:val="00F27F3D"/>
    <w:rsid w:val="00F312E1"/>
    <w:rsid w:val="00F317A6"/>
    <w:rsid w:val="00F339D1"/>
    <w:rsid w:val="00F3483B"/>
    <w:rsid w:val="00F365FE"/>
    <w:rsid w:val="00F36DA9"/>
    <w:rsid w:val="00F37C9D"/>
    <w:rsid w:val="00F37D12"/>
    <w:rsid w:val="00F404E2"/>
    <w:rsid w:val="00F404E5"/>
    <w:rsid w:val="00F40B42"/>
    <w:rsid w:val="00F418A6"/>
    <w:rsid w:val="00F41CDF"/>
    <w:rsid w:val="00F4208F"/>
    <w:rsid w:val="00F42155"/>
    <w:rsid w:val="00F42750"/>
    <w:rsid w:val="00F42C6C"/>
    <w:rsid w:val="00F43391"/>
    <w:rsid w:val="00F448BD"/>
    <w:rsid w:val="00F456E7"/>
    <w:rsid w:val="00F458CA"/>
    <w:rsid w:val="00F46589"/>
    <w:rsid w:val="00F46A23"/>
    <w:rsid w:val="00F46B6D"/>
    <w:rsid w:val="00F4704F"/>
    <w:rsid w:val="00F471E1"/>
    <w:rsid w:val="00F474BA"/>
    <w:rsid w:val="00F47AE4"/>
    <w:rsid w:val="00F50046"/>
    <w:rsid w:val="00F528D5"/>
    <w:rsid w:val="00F55022"/>
    <w:rsid w:val="00F5610F"/>
    <w:rsid w:val="00F563D9"/>
    <w:rsid w:val="00F5788E"/>
    <w:rsid w:val="00F57B2E"/>
    <w:rsid w:val="00F57E7F"/>
    <w:rsid w:val="00F600D4"/>
    <w:rsid w:val="00F60639"/>
    <w:rsid w:val="00F61324"/>
    <w:rsid w:val="00F6168A"/>
    <w:rsid w:val="00F61790"/>
    <w:rsid w:val="00F61BAD"/>
    <w:rsid w:val="00F627E1"/>
    <w:rsid w:val="00F6414A"/>
    <w:rsid w:val="00F66D73"/>
    <w:rsid w:val="00F67132"/>
    <w:rsid w:val="00F7095E"/>
    <w:rsid w:val="00F7197E"/>
    <w:rsid w:val="00F7222D"/>
    <w:rsid w:val="00F72FA3"/>
    <w:rsid w:val="00F72FE5"/>
    <w:rsid w:val="00F73E6C"/>
    <w:rsid w:val="00F743A6"/>
    <w:rsid w:val="00F74A58"/>
    <w:rsid w:val="00F74C5D"/>
    <w:rsid w:val="00F750E0"/>
    <w:rsid w:val="00F8074D"/>
    <w:rsid w:val="00F82085"/>
    <w:rsid w:val="00F828A3"/>
    <w:rsid w:val="00F829AE"/>
    <w:rsid w:val="00F83ADD"/>
    <w:rsid w:val="00F83B91"/>
    <w:rsid w:val="00F83D16"/>
    <w:rsid w:val="00F83E16"/>
    <w:rsid w:val="00F854C1"/>
    <w:rsid w:val="00F86851"/>
    <w:rsid w:val="00F873BB"/>
    <w:rsid w:val="00F87D4F"/>
    <w:rsid w:val="00F90CC2"/>
    <w:rsid w:val="00F9148D"/>
    <w:rsid w:val="00F9359C"/>
    <w:rsid w:val="00F94890"/>
    <w:rsid w:val="00F94BDD"/>
    <w:rsid w:val="00F950F8"/>
    <w:rsid w:val="00F9569F"/>
    <w:rsid w:val="00F95AC8"/>
    <w:rsid w:val="00F963AE"/>
    <w:rsid w:val="00F9698A"/>
    <w:rsid w:val="00F96D3E"/>
    <w:rsid w:val="00F96DB9"/>
    <w:rsid w:val="00F97892"/>
    <w:rsid w:val="00F97CCB"/>
    <w:rsid w:val="00FA0651"/>
    <w:rsid w:val="00FA144A"/>
    <w:rsid w:val="00FA3259"/>
    <w:rsid w:val="00FA4C8C"/>
    <w:rsid w:val="00FA53EE"/>
    <w:rsid w:val="00FA566B"/>
    <w:rsid w:val="00FA7153"/>
    <w:rsid w:val="00FA7B41"/>
    <w:rsid w:val="00FA7DBD"/>
    <w:rsid w:val="00FB0B62"/>
    <w:rsid w:val="00FB123E"/>
    <w:rsid w:val="00FB21D4"/>
    <w:rsid w:val="00FB26A6"/>
    <w:rsid w:val="00FB2CBF"/>
    <w:rsid w:val="00FB2E0C"/>
    <w:rsid w:val="00FB368E"/>
    <w:rsid w:val="00FB4ED5"/>
    <w:rsid w:val="00FB56C9"/>
    <w:rsid w:val="00FB70CE"/>
    <w:rsid w:val="00FC1E49"/>
    <w:rsid w:val="00FC37D2"/>
    <w:rsid w:val="00FC3C42"/>
    <w:rsid w:val="00FC454B"/>
    <w:rsid w:val="00FC457F"/>
    <w:rsid w:val="00FC46D3"/>
    <w:rsid w:val="00FC4847"/>
    <w:rsid w:val="00FC50F5"/>
    <w:rsid w:val="00FC5309"/>
    <w:rsid w:val="00FD0A13"/>
    <w:rsid w:val="00FD0C8B"/>
    <w:rsid w:val="00FD11B3"/>
    <w:rsid w:val="00FD24B0"/>
    <w:rsid w:val="00FD3F6B"/>
    <w:rsid w:val="00FD42D9"/>
    <w:rsid w:val="00FD5019"/>
    <w:rsid w:val="00FD6AFF"/>
    <w:rsid w:val="00FD79E0"/>
    <w:rsid w:val="00FD7AB9"/>
    <w:rsid w:val="00FE06F6"/>
    <w:rsid w:val="00FE11E7"/>
    <w:rsid w:val="00FE1854"/>
    <w:rsid w:val="00FE1D95"/>
    <w:rsid w:val="00FE69BA"/>
    <w:rsid w:val="00FE7432"/>
    <w:rsid w:val="00FE74DA"/>
    <w:rsid w:val="00FF02EE"/>
    <w:rsid w:val="00FF1A98"/>
    <w:rsid w:val="00FF4027"/>
    <w:rsid w:val="00FF47F0"/>
    <w:rsid w:val="00FF485A"/>
    <w:rsid w:val="00FF5085"/>
    <w:rsid w:val="00FF71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638977"/>
    <o:shapelayout v:ext="edit">
      <o:idmap v:ext="edit" data="1"/>
    </o:shapelayout>
  </w:shapeDefaults>
  <w:decimalSymbol w:val=","/>
  <w:listSeparator w:val=";"/>
  <w14:docId w14:val="2FFE5085"/>
  <w15:docId w15:val="{E2B720BA-A63C-4DCB-95B2-216605168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BCE"/>
    <w:rPr>
      <w:kern w:val="2"/>
      <w14:ligatures w14:val="standardContextual"/>
    </w:rPr>
  </w:style>
  <w:style w:type="paragraph" w:styleId="Heading1">
    <w:name w:val="heading 1"/>
    <w:basedOn w:val="Normal"/>
    <w:next w:val="Normal"/>
    <w:link w:val="Heading1Char"/>
    <w:uiPriority w:val="9"/>
    <w:rsid w:val="00FD3F6B"/>
    <w:pPr>
      <w:keepNext/>
      <w:keepLines/>
      <w:numPr>
        <w:numId w:val="3"/>
      </w:numPr>
      <w:spacing w:before="800"/>
      <w:outlineLvl w:val="0"/>
    </w:pPr>
    <w:rPr>
      <w:rFonts w:ascii="Roboto Condensed" w:eastAsiaTheme="majorEastAsia" w:hAnsi="Roboto Condensed" w:cstheme="majorBidi"/>
      <w:b/>
      <w:color w:val="006EB5"/>
      <w:sz w:val="32"/>
      <w:szCs w:val="32"/>
    </w:rPr>
  </w:style>
  <w:style w:type="paragraph" w:styleId="Heading2">
    <w:name w:val="heading 2"/>
    <w:basedOn w:val="Normal"/>
    <w:next w:val="Normal"/>
    <w:link w:val="Heading2Char"/>
    <w:uiPriority w:val="9"/>
    <w:unhideWhenUsed/>
    <w:rsid w:val="00FD3F6B"/>
    <w:pPr>
      <w:keepNext/>
      <w:keepLines/>
      <w:numPr>
        <w:ilvl w:val="1"/>
        <w:numId w:val="3"/>
      </w:numPr>
      <w:spacing w:before="40"/>
      <w:outlineLvl w:val="1"/>
    </w:pPr>
    <w:rPr>
      <w:rFonts w:ascii="Roboto Condensed" w:eastAsiaTheme="majorEastAsia" w:hAnsi="Roboto Condensed" w:cstheme="majorBidi"/>
      <w:b/>
      <w:color w:val="006EB5"/>
      <w:sz w:val="26"/>
      <w:szCs w:val="26"/>
    </w:rPr>
  </w:style>
  <w:style w:type="paragraph" w:styleId="Heading3">
    <w:name w:val="heading 3"/>
    <w:basedOn w:val="Normal"/>
    <w:next w:val="Normal"/>
    <w:link w:val="Heading3Char"/>
    <w:uiPriority w:val="9"/>
    <w:unhideWhenUsed/>
    <w:rsid w:val="00FD3F6B"/>
    <w:pPr>
      <w:keepNext/>
      <w:keepLines/>
      <w:numPr>
        <w:ilvl w:val="2"/>
        <w:numId w:val="3"/>
      </w:numPr>
      <w:outlineLvl w:val="2"/>
    </w:pPr>
    <w:rPr>
      <w:rFonts w:eastAsiaTheme="majorEastAsia" w:cstheme="majorBidi"/>
      <w:b/>
      <w:color w:val="000000" w:themeColor="text1"/>
      <w:szCs w:val="24"/>
    </w:rPr>
  </w:style>
  <w:style w:type="paragraph" w:styleId="Heading4">
    <w:name w:val="heading 4"/>
    <w:aliases w:val="Tekstisisene pk"/>
    <w:basedOn w:val="Normal"/>
    <w:next w:val="Normal"/>
    <w:link w:val="Heading4Char"/>
    <w:uiPriority w:val="9"/>
    <w:unhideWhenUsed/>
    <w:qFormat/>
    <w:rsid w:val="00FD3F6B"/>
    <w:pPr>
      <w:keepNext/>
      <w:keepLines/>
      <w:spacing w:before="160" w:after="40"/>
      <w:outlineLvl w:val="3"/>
    </w:pPr>
    <w:rPr>
      <w:rFonts w:ascii="Roboto Condensed" w:eastAsiaTheme="majorEastAsia" w:hAnsi="Roboto Condensed" w:cstheme="majorBidi"/>
      <w:b/>
      <w:iCs/>
    </w:rPr>
  </w:style>
  <w:style w:type="paragraph" w:styleId="Heading5">
    <w:name w:val="heading 5"/>
    <w:basedOn w:val="Normal"/>
    <w:next w:val="Normal"/>
    <w:link w:val="Heading5Char"/>
    <w:uiPriority w:val="9"/>
    <w:unhideWhenUsed/>
    <w:rsid w:val="00FD3F6B"/>
    <w:pPr>
      <w:keepNext/>
      <w:keepLines/>
      <w:numPr>
        <w:ilvl w:val="4"/>
        <w:numId w:val="3"/>
      </w:numPr>
      <w:spacing w:before="40" w:after="0"/>
      <w:outlineLvl w:val="4"/>
    </w:pPr>
    <w:rPr>
      <w:rFonts w:asciiTheme="majorHAnsi" w:eastAsiaTheme="majorEastAsia" w:hAnsiTheme="majorHAnsi" w:cstheme="majorBidi"/>
      <w:color w:val="00448C" w:themeColor="accent1" w:themeShade="BF"/>
    </w:rPr>
  </w:style>
  <w:style w:type="paragraph" w:styleId="Heading6">
    <w:name w:val="heading 6"/>
    <w:basedOn w:val="Normal"/>
    <w:next w:val="Normal"/>
    <w:link w:val="Heading6Char"/>
    <w:uiPriority w:val="9"/>
    <w:semiHidden/>
    <w:unhideWhenUsed/>
    <w:qFormat/>
    <w:rsid w:val="00FD3F6B"/>
    <w:pPr>
      <w:keepNext/>
      <w:keepLines/>
      <w:numPr>
        <w:ilvl w:val="5"/>
        <w:numId w:val="3"/>
      </w:numPr>
      <w:spacing w:before="40" w:after="0"/>
      <w:outlineLvl w:val="5"/>
    </w:pPr>
    <w:rPr>
      <w:rFonts w:asciiTheme="majorHAnsi" w:eastAsiaTheme="majorEastAsia" w:hAnsiTheme="majorHAnsi" w:cstheme="majorBidi"/>
      <w:color w:val="002D5D" w:themeColor="accent1" w:themeShade="7F"/>
    </w:rPr>
  </w:style>
  <w:style w:type="paragraph" w:styleId="Heading7">
    <w:name w:val="heading 7"/>
    <w:basedOn w:val="Normal"/>
    <w:next w:val="Normal"/>
    <w:link w:val="Heading7Char"/>
    <w:uiPriority w:val="9"/>
    <w:semiHidden/>
    <w:unhideWhenUsed/>
    <w:qFormat/>
    <w:rsid w:val="00FD3F6B"/>
    <w:pPr>
      <w:keepNext/>
      <w:keepLines/>
      <w:numPr>
        <w:ilvl w:val="6"/>
        <w:numId w:val="3"/>
      </w:numPr>
      <w:spacing w:before="40" w:after="0"/>
      <w:outlineLvl w:val="6"/>
    </w:pPr>
    <w:rPr>
      <w:rFonts w:asciiTheme="majorHAnsi" w:eastAsiaTheme="majorEastAsia" w:hAnsiTheme="majorHAnsi" w:cstheme="majorBidi"/>
      <w:i/>
      <w:iCs/>
      <w:color w:val="002D5D" w:themeColor="accent1" w:themeShade="7F"/>
    </w:rPr>
  </w:style>
  <w:style w:type="paragraph" w:styleId="Heading8">
    <w:name w:val="heading 8"/>
    <w:basedOn w:val="Normal"/>
    <w:next w:val="Normal"/>
    <w:link w:val="Heading8Char"/>
    <w:uiPriority w:val="9"/>
    <w:semiHidden/>
    <w:unhideWhenUsed/>
    <w:qFormat/>
    <w:rsid w:val="00FD3F6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3F6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CB1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BCE"/>
  </w:style>
  <w:style w:type="character" w:customStyle="1" w:styleId="Heading1Char">
    <w:name w:val="Heading 1 Char"/>
    <w:basedOn w:val="DefaultParagraphFont"/>
    <w:link w:val="Heading1"/>
    <w:uiPriority w:val="9"/>
    <w:rsid w:val="00FD3F6B"/>
    <w:rPr>
      <w:rFonts w:ascii="Roboto Condensed" w:eastAsiaTheme="majorEastAsia" w:hAnsi="Roboto Condensed" w:cstheme="majorBidi"/>
      <w:b/>
      <w:color w:val="006EB5"/>
      <w:sz w:val="32"/>
      <w:szCs w:val="32"/>
    </w:rPr>
  </w:style>
  <w:style w:type="character" w:customStyle="1" w:styleId="Heading2Char">
    <w:name w:val="Heading 2 Char"/>
    <w:basedOn w:val="DefaultParagraphFont"/>
    <w:link w:val="Heading2"/>
    <w:uiPriority w:val="9"/>
    <w:rsid w:val="00FD3F6B"/>
    <w:rPr>
      <w:rFonts w:ascii="Roboto Condensed" w:eastAsiaTheme="majorEastAsia" w:hAnsi="Roboto Condensed" w:cstheme="majorBidi"/>
      <w:b/>
      <w:color w:val="006EB5"/>
      <w:sz w:val="26"/>
      <w:szCs w:val="26"/>
    </w:rPr>
  </w:style>
  <w:style w:type="character" w:customStyle="1" w:styleId="Heading3Char">
    <w:name w:val="Heading 3 Char"/>
    <w:basedOn w:val="DefaultParagraphFont"/>
    <w:link w:val="Heading3"/>
    <w:uiPriority w:val="9"/>
    <w:rsid w:val="00FD3F6B"/>
    <w:rPr>
      <w:rFonts w:ascii="Roboto" w:eastAsiaTheme="majorEastAsia" w:hAnsi="Roboto" w:cstheme="majorBidi"/>
      <w:b/>
      <w:color w:val="000000" w:themeColor="text1"/>
      <w:szCs w:val="24"/>
    </w:rPr>
  </w:style>
  <w:style w:type="character" w:customStyle="1" w:styleId="Heading4Char">
    <w:name w:val="Heading 4 Char"/>
    <w:aliases w:val="Tekstisisene pk Char"/>
    <w:basedOn w:val="DefaultParagraphFont"/>
    <w:link w:val="Heading4"/>
    <w:uiPriority w:val="9"/>
    <w:rsid w:val="00FD3F6B"/>
    <w:rPr>
      <w:rFonts w:ascii="Roboto Condensed" w:eastAsiaTheme="majorEastAsia" w:hAnsi="Roboto Condensed" w:cstheme="majorBidi"/>
      <w:b/>
      <w:iCs/>
      <w:sz w:val="24"/>
    </w:rPr>
  </w:style>
  <w:style w:type="character" w:customStyle="1" w:styleId="Heading5Char">
    <w:name w:val="Heading 5 Char"/>
    <w:basedOn w:val="DefaultParagraphFont"/>
    <w:link w:val="Heading5"/>
    <w:uiPriority w:val="9"/>
    <w:rsid w:val="00FD3F6B"/>
    <w:rPr>
      <w:rFonts w:asciiTheme="majorHAnsi" w:eastAsiaTheme="majorEastAsia" w:hAnsiTheme="majorHAnsi" w:cstheme="majorBidi"/>
      <w:color w:val="00448C" w:themeColor="accent1" w:themeShade="BF"/>
      <w:sz w:val="24"/>
    </w:rPr>
  </w:style>
  <w:style w:type="character" w:customStyle="1" w:styleId="Heading6Char">
    <w:name w:val="Heading 6 Char"/>
    <w:basedOn w:val="DefaultParagraphFont"/>
    <w:link w:val="Heading6"/>
    <w:uiPriority w:val="9"/>
    <w:semiHidden/>
    <w:rsid w:val="00FD3F6B"/>
    <w:rPr>
      <w:rFonts w:asciiTheme="majorHAnsi" w:eastAsiaTheme="majorEastAsia" w:hAnsiTheme="majorHAnsi" w:cstheme="majorBidi"/>
      <w:color w:val="002D5D" w:themeColor="accent1" w:themeShade="7F"/>
      <w:sz w:val="24"/>
    </w:rPr>
  </w:style>
  <w:style w:type="character" w:customStyle="1" w:styleId="Heading7Char">
    <w:name w:val="Heading 7 Char"/>
    <w:basedOn w:val="DefaultParagraphFont"/>
    <w:link w:val="Heading7"/>
    <w:uiPriority w:val="9"/>
    <w:semiHidden/>
    <w:rsid w:val="00FD3F6B"/>
    <w:rPr>
      <w:rFonts w:asciiTheme="majorHAnsi" w:eastAsiaTheme="majorEastAsia" w:hAnsiTheme="majorHAnsi" w:cstheme="majorBidi"/>
      <w:i/>
      <w:iCs/>
      <w:color w:val="002D5D" w:themeColor="accent1" w:themeShade="7F"/>
      <w:sz w:val="24"/>
    </w:rPr>
  </w:style>
  <w:style w:type="character" w:customStyle="1" w:styleId="Heading8Char">
    <w:name w:val="Heading 8 Char"/>
    <w:basedOn w:val="DefaultParagraphFont"/>
    <w:link w:val="Heading8"/>
    <w:uiPriority w:val="9"/>
    <w:semiHidden/>
    <w:rsid w:val="00FD3F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3F6B"/>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FD3F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F6B"/>
    <w:rPr>
      <w:rFonts w:ascii="Segoe UI" w:hAnsi="Segoe UI" w:cs="Segoe UI"/>
      <w:sz w:val="18"/>
      <w:szCs w:val="18"/>
    </w:rPr>
  </w:style>
  <w:style w:type="paragraph" w:styleId="TOC1">
    <w:name w:val="toc 1"/>
    <w:basedOn w:val="Normal"/>
    <w:next w:val="Normal"/>
    <w:autoRedefine/>
    <w:uiPriority w:val="39"/>
    <w:unhideWhenUsed/>
    <w:rsid w:val="002F14BA"/>
    <w:pPr>
      <w:tabs>
        <w:tab w:val="right" w:pos="9968"/>
      </w:tabs>
      <w:spacing w:after="0"/>
    </w:pPr>
    <w:rPr>
      <w:rFonts w:ascii="Segoe UI" w:hAnsi="Segoe UI" w:cstheme="minorHAnsi"/>
      <w:b/>
      <w:bCs/>
      <w:caps/>
      <w:szCs w:val="20"/>
    </w:rPr>
  </w:style>
  <w:style w:type="character" w:styleId="Hyperlink">
    <w:name w:val="Hyperlink"/>
    <w:basedOn w:val="DefaultParagraphFont"/>
    <w:uiPriority w:val="99"/>
    <w:unhideWhenUsed/>
    <w:rsid w:val="00FD3F6B"/>
    <w:rPr>
      <w:color w:val="0563C1" w:themeColor="hyperlink"/>
      <w:u w:val="single"/>
    </w:rPr>
  </w:style>
  <w:style w:type="paragraph" w:styleId="Subtitle">
    <w:name w:val="Subtitle"/>
    <w:basedOn w:val="Normal"/>
    <w:next w:val="Normal"/>
    <w:link w:val="SubtitleChar"/>
    <w:uiPriority w:val="11"/>
    <w:rsid w:val="00FD3F6B"/>
    <w:pPr>
      <w:numPr>
        <w:ilvl w:val="1"/>
      </w:numPr>
      <w:spacing w:before="40"/>
    </w:pPr>
    <w:rPr>
      <w:rFonts w:eastAsiaTheme="minorEastAsia"/>
      <w:i/>
      <w:color w:val="5A5A5A" w:themeColor="text1" w:themeTint="A5"/>
      <w:spacing w:val="15"/>
      <w:sz w:val="16"/>
    </w:rPr>
  </w:style>
  <w:style w:type="character" w:customStyle="1" w:styleId="SubtitleChar">
    <w:name w:val="Subtitle Char"/>
    <w:basedOn w:val="DefaultParagraphFont"/>
    <w:link w:val="Subtitle"/>
    <w:uiPriority w:val="11"/>
    <w:rsid w:val="00FD3F6B"/>
    <w:rPr>
      <w:rFonts w:ascii="Roboto" w:eastAsiaTheme="minorEastAsia" w:hAnsi="Roboto"/>
      <w:i/>
      <w:color w:val="5A5A5A" w:themeColor="text1" w:themeTint="A5"/>
      <w:spacing w:val="15"/>
      <w:sz w:val="16"/>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
    <w:basedOn w:val="Normal"/>
    <w:link w:val="FootnoteTextChar"/>
    <w:uiPriority w:val="99"/>
    <w:unhideWhenUsed/>
    <w:rsid w:val="00FD3F6B"/>
    <w:rPr>
      <w:szCs w:val="20"/>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rsid w:val="00FD3F6B"/>
    <w:rPr>
      <w:rFonts w:ascii="Roboto" w:hAnsi="Roboto"/>
      <w:sz w:val="24"/>
      <w:szCs w:val="20"/>
    </w:rPr>
  </w:style>
  <w:style w:type="character" w:styleId="FootnoteReference">
    <w:name w:val="footnote reference"/>
    <w:aliases w:val="Footnote symbol,Ref,de nota al pie,-E Fußnotenzeichen,fr,ftref,Footnotes refss,Fussnota,Footnote reference number,Times 10 Point,Exposant 3 Point,EN Footnote Reference,note TESI,Footnote Reference Superscript,Zchn Zchn,Footnote numb,o"/>
    <w:basedOn w:val="DefaultParagraphFont"/>
    <w:uiPriority w:val="99"/>
    <w:unhideWhenUsed/>
    <w:rsid w:val="00FD3F6B"/>
    <w:rPr>
      <w:vertAlign w:val="superscript"/>
    </w:rPr>
  </w:style>
  <w:style w:type="paragraph" w:styleId="EndnoteText">
    <w:name w:val="endnote text"/>
    <w:basedOn w:val="Normal"/>
    <w:link w:val="EndnoteTextChar"/>
    <w:uiPriority w:val="99"/>
    <w:semiHidden/>
    <w:unhideWhenUsed/>
    <w:rsid w:val="00FD3F6B"/>
    <w:rPr>
      <w:szCs w:val="20"/>
    </w:rPr>
  </w:style>
  <w:style w:type="character" w:customStyle="1" w:styleId="EndnoteTextChar">
    <w:name w:val="Endnote Text Char"/>
    <w:basedOn w:val="DefaultParagraphFont"/>
    <w:link w:val="EndnoteText"/>
    <w:uiPriority w:val="99"/>
    <w:semiHidden/>
    <w:rsid w:val="00FD3F6B"/>
    <w:rPr>
      <w:rFonts w:ascii="Roboto" w:hAnsi="Roboto"/>
      <w:sz w:val="24"/>
      <w:szCs w:val="20"/>
    </w:rPr>
  </w:style>
  <w:style w:type="character" w:styleId="EndnoteReference">
    <w:name w:val="endnote reference"/>
    <w:basedOn w:val="DefaultParagraphFont"/>
    <w:uiPriority w:val="99"/>
    <w:semiHidden/>
    <w:unhideWhenUsed/>
    <w:rsid w:val="00FD3F6B"/>
    <w:rPr>
      <w:vertAlign w:val="superscript"/>
    </w:rPr>
  </w:style>
  <w:style w:type="paragraph" w:styleId="TOC2">
    <w:name w:val="toc 2"/>
    <w:basedOn w:val="Normal"/>
    <w:next w:val="Normal"/>
    <w:autoRedefine/>
    <w:uiPriority w:val="39"/>
    <w:unhideWhenUsed/>
    <w:rsid w:val="0081464C"/>
    <w:pPr>
      <w:tabs>
        <w:tab w:val="left" w:pos="800"/>
        <w:tab w:val="right" w:pos="9968"/>
      </w:tabs>
      <w:spacing w:after="0"/>
      <w:ind w:left="198"/>
    </w:pPr>
    <w:rPr>
      <w:rFonts w:ascii="Segoe UI" w:hAnsi="Segoe UI" w:cstheme="minorHAnsi"/>
      <w:caps/>
      <w:szCs w:val="20"/>
    </w:rPr>
  </w:style>
  <w:style w:type="paragraph" w:styleId="TOC3">
    <w:name w:val="toc 3"/>
    <w:basedOn w:val="Normal"/>
    <w:next w:val="Normal"/>
    <w:autoRedefine/>
    <w:uiPriority w:val="39"/>
    <w:unhideWhenUsed/>
    <w:rsid w:val="002F14BA"/>
    <w:pPr>
      <w:tabs>
        <w:tab w:val="left" w:pos="1200"/>
        <w:tab w:val="right" w:pos="9968"/>
      </w:tabs>
      <w:spacing w:after="0"/>
      <w:ind w:left="403"/>
    </w:pPr>
    <w:rPr>
      <w:rFonts w:ascii="Segoe UI" w:hAnsi="Segoe UI" w:cstheme="minorHAnsi"/>
      <w:i/>
      <w:iCs/>
      <w:szCs w:val="20"/>
    </w:rPr>
  </w:style>
  <w:style w:type="paragraph" w:styleId="TOC4">
    <w:name w:val="toc 4"/>
    <w:basedOn w:val="Normal"/>
    <w:next w:val="Normal"/>
    <w:autoRedefine/>
    <w:uiPriority w:val="39"/>
    <w:unhideWhenUsed/>
    <w:rsid w:val="00FD3F6B"/>
    <w:pPr>
      <w:ind w:left="600"/>
    </w:pPr>
    <w:rPr>
      <w:rFonts w:cstheme="minorHAnsi"/>
      <w:sz w:val="18"/>
      <w:szCs w:val="18"/>
    </w:rPr>
  </w:style>
  <w:style w:type="paragraph" w:styleId="TOC5">
    <w:name w:val="toc 5"/>
    <w:basedOn w:val="Normal"/>
    <w:next w:val="Normal"/>
    <w:autoRedefine/>
    <w:uiPriority w:val="39"/>
    <w:unhideWhenUsed/>
    <w:rsid w:val="00FD3F6B"/>
    <w:pPr>
      <w:ind w:left="800"/>
    </w:pPr>
    <w:rPr>
      <w:rFonts w:cstheme="minorHAnsi"/>
      <w:sz w:val="18"/>
      <w:szCs w:val="18"/>
    </w:rPr>
  </w:style>
  <w:style w:type="paragraph" w:styleId="TOC6">
    <w:name w:val="toc 6"/>
    <w:basedOn w:val="Normal"/>
    <w:next w:val="Normal"/>
    <w:autoRedefine/>
    <w:uiPriority w:val="39"/>
    <w:unhideWhenUsed/>
    <w:rsid w:val="00FD3F6B"/>
    <w:pPr>
      <w:ind w:left="1000"/>
    </w:pPr>
    <w:rPr>
      <w:rFonts w:cstheme="minorHAnsi"/>
      <w:sz w:val="18"/>
      <w:szCs w:val="18"/>
    </w:rPr>
  </w:style>
  <w:style w:type="paragraph" w:styleId="TOC7">
    <w:name w:val="toc 7"/>
    <w:basedOn w:val="Normal"/>
    <w:next w:val="Normal"/>
    <w:autoRedefine/>
    <w:uiPriority w:val="39"/>
    <w:unhideWhenUsed/>
    <w:rsid w:val="00FD3F6B"/>
    <w:pPr>
      <w:ind w:left="1200"/>
    </w:pPr>
    <w:rPr>
      <w:rFonts w:cstheme="minorHAnsi"/>
      <w:sz w:val="18"/>
      <w:szCs w:val="18"/>
    </w:rPr>
  </w:style>
  <w:style w:type="paragraph" w:styleId="TOC8">
    <w:name w:val="toc 8"/>
    <w:basedOn w:val="Normal"/>
    <w:next w:val="Normal"/>
    <w:autoRedefine/>
    <w:uiPriority w:val="39"/>
    <w:unhideWhenUsed/>
    <w:rsid w:val="00FD3F6B"/>
    <w:pPr>
      <w:ind w:left="1400"/>
    </w:pPr>
    <w:rPr>
      <w:rFonts w:cstheme="minorHAnsi"/>
      <w:sz w:val="18"/>
      <w:szCs w:val="18"/>
    </w:rPr>
  </w:style>
  <w:style w:type="paragraph" w:styleId="TOC9">
    <w:name w:val="toc 9"/>
    <w:basedOn w:val="Normal"/>
    <w:next w:val="Normal"/>
    <w:autoRedefine/>
    <w:uiPriority w:val="39"/>
    <w:unhideWhenUsed/>
    <w:rsid w:val="00FD3F6B"/>
    <w:pPr>
      <w:ind w:left="1600"/>
    </w:pPr>
    <w:rPr>
      <w:rFonts w:cstheme="minorHAnsi"/>
      <w:sz w:val="18"/>
      <w:szCs w:val="18"/>
    </w:rPr>
  </w:style>
  <w:style w:type="paragraph" w:styleId="Caption">
    <w:name w:val="caption"/>
    <w:aliases w:val="Caption Tabel"/>
    <w:basedOn w:val="Normal"/>
    <w:next w:val="Normal"/>
    <w:uiPriority w:val="35"/>
    <w:unhideWhenUsed/>
    <w:qFormat/>
    <w:rsid w:val="00FD3F6B"/>
    <w:pPr>
      <w:keepNext/>
      <w:keepLines/>
    </w:pPr>
    <w:rPr>
      <w:rFonts w:ascii="Roboto Condensed" w:hAnsi="Roboto Condensed"/>
      <w:b/>
      <w:iCs/>
      <w:color w:val="006EB5"/>
      <w:sz w:val="20"/>
      <w:szCs w:val="18"/>
    </w:rPr>
  </w:style>
  <w:style w:type="paragraph" w:styleId="TableofFigures">
    <w:name w:val="table of figures"/>
    <w:basedOn w:val="Normal"/>
    <w:next w:val="Normal"/>
    <w:uiPriority w:val="99"/>
    <w:unhideWhenUsed/>
    <w:rsid w:val="00FD3F6B"/>
    <w:rPr>
      <w:rFonts w:ascii="Segoe UI" w:hAnsi="Segoe UI"/>
    </w:rPr>
  </w:style>
  <w:style w:type="paragraph" w:styleId="ListParagraph">
    <w:name w:val="List Paragraph"/>
    <w:aliases w:val="Mummuga loetelu"/>
    <w:basedOn w:val="Normal"/>
    <w:link w:val="ListParagraphChar"/>
    <w:uiPriority w:val="34"/>
    <w:qFormat/>
    <w:rsid w:val="00FD3F6B"/>
    <w:pPr>
      <w:ind w:left="720"/>
      <w:contextualSpacing/>
    </w:pPr>
  </w:style>
  <w:style w:type="character" w:customStyle="1" w:styleId="ListParagraphChar">
    <w:name w:val="List Paragraph Char"/>
    <w:aliases w:val="Mummuga loetelu Char"/>
    <w:link w:val="ListParagraph"/>
    <w:uiPriority w:val="34"/>
    <w:locked/>
    <w:rsid w:val="00494308"/>
    <w:rPr>
      <w:rFonts w:ascii="Roboto" w:hAnsi="Roboto"/>
      <w:sz w:val="24"/>
    </w:rPr>
  </w:style>
  <w:style w:type="paragraph" w:styleId="Header">
    <w:name w:val="header"/>
    <w:basedOn w:val="Normal"/>
    <w:link w:val="HeaderChar"/>
    <w:uiPriority w:val="99"/>
    <w:unhideWhenUsed/>
    <w:rsid w:val="00FD3F6B"/>
    <w:pPr>
      <w:tabs>
        <w:tab w:val="center" w:pos="4536"/>
        <w:tab w:val="right" w:pos="9072"/>
      </w:tabs>
    </w:pPr>
  </w:style>
  <w:style w:type="character" w:customStyle="1" w:styleId="HeaderChar">
    <w:name w:val="Header Char"/>
    <w:basedOn w:val="DefaultParagraphFont"/>
    <w:link w:val="Header"/>
    <w:uiPriority w:val="99"/>
    <w:rsid w:val="00FD3F6B"/>
    <w:rPr>
      <w:rFonts w:ascii="Roboto" w:hAnsi="Roboto"/>
      <w:sz w:val="24"/>
    </w:rPr>
  </w:style>
  <w:style w:type="paragraph" w:styleId="Footer">
    <w:name w:val="footer"/>
    <w:basedOn w:val="Normal"/>
    <w:link w:val="FooterChar"/>
    <w:uiPriority w:val="99"/>
    <w:unhideWhenUsed/>
    <w:rsid w:val="00FD3F6B"/>
    <w:pPr>
      <w:tabs>
        <w:tab w:val="center" w:pos="4536"/>
        <w:tab w:val="right" w:pos="9072"/>
      </w:tabs>
    </w:pPr>
    <w:rPr>
      <w:rFonts w:ascii="Segoe UI" w:hAnsi="Segoe UI"/>
      <w:sz w:val="16"/>
    </w:rPr>
  </w:style>
  <w:style w:type="character" w:customStyle="1" w:styleId="FooterChar">
    <w:name w:val="Footer Char"/>
    <w:basedOn w:val="DefaultParagraphFont"/>
    <w:link w:val="Footer"/>
    <w:uiPriority w:val="99"/>
    <w:rsid w:val="00FD3F6B"/>
    <w:rPr>
      <w:rFonts w:ascii="Segoe UI" w:hAnsi="Segoe UI"/>
      <w:sz w:val="16"/>
    </w:rPr>
  </w:style>
  <w:style w:type="table" w:customStyle="1" w:styleId="GridTable1Light1">
    <w:name w:val="Grid Table 1 Light1"/>
    <w:basedOn w:val="TableNormal"/>
    <w:uiPriority w:val="46"/>
    <w:rsid w:val="0049430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494308"/>
    <w:pPr>
      <w:spacing w:after="0" w:line="240" w:lineRule="auto"/>
    </w:pPr>
    <w:rPr>
      <w:rFonts w:ascii="Roboto Condensed" w:hAnsi="Roboto Condensed"/>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1">
    <w:name w:val="Style1"/>
    <w:basedOn w:val="PlainTable5"/>
    <w:uiPriority w:val="99"/>
    <w:rsid w:val="00FD3F6B"/>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FD3F6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style">
    <w:name w:val="List style"/>
    <w:basedOn w:val="PlainTable5"/>
    <w:uiPriority w:val="99"/>
    <w:rsid w:val="00FD3F6B"/>
    <w:rPr>
      <w:rFonts w:ascii="Georgia" w:hAnsi="Georgia"/>
      <w:sz w:val="16"/>
    </w:rPr>
    <w:tblPr/>
    <w:tblStylePr w:type="firstRow">
      <w:rPr>
        <w:rFonts w:ascii="Georgia" w:eastAsiaTheme="majorEastAsia" w:hAnsi="Georgia" w:cstheme="majorBidi"/>
        <w:i w:val="0"/>
        <w:iCs/>
        <w:sz w:val="1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FD3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49430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4943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494308"/>
    <w:pPr>
      <w:spacing w:after="0" w:line="240" w:lineRule="auto"/>
      <w:jc w:val="right"/>
    </w:pPr>
    <w:tblPr>
      <w:tblStyleRowBandSize w:val="1"/>
      <w:tblStyleColBandSize w:val="1"/>
      <w:tblBorders>
        <w:top w:val="single" w:sz="4" w:space="0" w:color="7F7F7F" w:themeColor="text1" w:themeTint="80"/>
        <w:bottom w:val="single" w:sz="4" w:space="0" w:color="7F7F7F" w:themeColor="text1" w:themeTint="80"/>
      </w:tblBorders>
    </w:tblPr>
    <w:tcPr>
      <w:shd w:val="clear" w:color="auto" w:fill="auto"/>
      <w:vAlign w:val="center"/>
    </w:tcPr>
    <w:tblStylePr w:type="firstRow">
      <w:pPr>
        <w:keepNext/>
        <w:keepLines/>
        <w:widowControl/>
        <w:wordWrap/>
        <w:jc w:val="center"/>
      </w:pPr>
      <w:rPr>
        <w:rFonts w:ascii="Roboto Condensed" w:hAnsi="Roboto Condensed"/>
        <w:b/>
        <w:bCs/>
        <w:sz w:val="22"/>
      </w:rPr>
      <w:tblPr/>
      <w:tcPr>
        <w:tcBorders>
          <w:top w:val="single" w:sz="4" w:space="0" w:color="auto"/>
          <w:left w:val="nil"/>
          <w:bottom w:val="single" w:sz="8" w:space="0" w:color="auto"/>
          <w:right w:val="nil"/>
          <w:insideH w:val="nil"/>
          <w:insideV w:val="nil"/>
          <w:tl2br w:val="nil"/>
          <w:tr2bl w:val="nil"/>
        </w:tcBorders>
      </w:tcPr>
    </w:tblStylePr>
    <w:tblStylePr w:type="lastRow">
      <w:rPr>
        <w:rFonts w:ascii="Roboto Condensed" w:hAnsi="Roboto Condensed"/>
        <w:b/>
        <w:bCs/>
        <w:sz w:val="22"/>
      </w:rPr>
      <w:tblPr/>
      <w:tcPr>
        <w:tcBorders>
          <w:top w:val="single" w:sz="8" w:space="0" w:color="auto"/>
        </w:tcBorders>
      </w:tcPr>
    </w:tblStylePr>
    <w:tblStylePr w:type="firstCol">
      <w:pPr>
        <w:jc w:val="left"/>
      </w:pPr>
      <w:rPr>
        <w:rFonts w:ascii="Roboto Condensed" w:hAnsi="Roboto Condensed"/>
        <w:b/>
        <w:bCs/>
        <w:sz w:val="22"/>
      </w:rPr>
      <w:tblPr/>
      <w:tcPr>
        <w:tcBorders>
          <w:right w:val="single" w:sz="8" w:space="0" w:color="auto"/>
        </w:tcBorders>
      </w:tcPr>
    </w:tblStylePr>
    <w:tblStylePr w:type="lastCol">
      <w:pPr>
        <w:wordWrap/>
        <w:spacing w:afterLines="240" w:after="240" w:afterAutospacing="0"/>
      </w:pPr>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shd w:val="clear" w:color="auto" w:fill="E7E6E6" w:themeFill="background2"/>
      </w:tcPr>
    </w:tblStylePr>
  </w:style>
  <w:style w:type="paragraph" w:customStyle="1" w:styleId="Phitekst">
    <w:name w:val="Põhitekst"/>
    <w:basedOn w:val="Normal"/>
    <w:link w:val="PhitekstChar"/>
    <w:qFormat/>
    <w:rsid w:val="00254190"/>
    <w:pPr>
      <w:jc w:val="both"/>
    </w:pPr>
  </w:style>
  <w:style w:type="character" w:customStyle="1" w:styleId="PhitekstChar">
    <w:name w:val="Põhitekst Char"/>
    <w:basedOn w:val="MABodyGaramondChar"/>
    <w:link w:val="Phitekst"/>
    <w:rsid w:val="00254190"/>
    <w:rPr>
      <w:rFonts w:ascii="Roboto" w:hAnsi="Roboto"/>
      <w:sz w:val="24"/>
    </w:rPr>
  </w:style>
  <w:style w:type="paragraph" w:customStyle="1" w:styleId="Alapunkt">
    <w:name w:val="Alapunkt"/>
    <w:basedOn w:val="Normal"/>
    <w:qFormat/>
    <w:rsid w:val="00E203DD"/>
    <w:rPr>
      <w:i/>
    </w:rPr>
  </w:style>
  <w:style w:type="paragraph" w:customStyle="1" w:styleId="Alapealkiri1">
    <w:name w:val="Alapealkiri1"/>
    <w:basedOn w:val="Style2"/>
    <w:qFormat/>
    <w:rsid w:val="00FD3F6B"/>
    <w:pPr>
      <w:spacing w:after="200"/>
      <w:outlineLvl w:val="1"/>
      <w15:collapsed/>
    </w:pPr>
    <w:rPr>
      <w:rFonts w:ascii="Roboto Condensed" w:hAnsi="Roboto Condensed"/>
      <w:i w:val="0"/>
      <w:color w:val="006EB5"/>
      <w:sz w:val="24"/>
    </w:rPr>
  </w:style>
  <w:style w:type="paragraph" w:customStyle="1" w:styleId="Kast">
    <w:name w:val="Kast"/>
    <w:basedOn w:val="Phitekst"/>
    <w:link w:val="KastChar"/>
    <w:qFormat/>
    <w:rsid w:val="00FD3F6B"/>
    <w:pPr>
      <w:pBdr>
        <w:top w:val="single" w:sz="4" w:space="8" w:color="000000" w:themeColor="text1"/>
        <w:left w:val="single" w:sz="4" w:space="8" w:color="000000" w:themeColor="text1"/>
        <w:bottom w:val="single" w:sz="4" w:space="8" w:color="000000" w:themeColor="text1"/>
        <w:right w:val="single" w:sz="4" w:space="8" w:color="000000" w:themeColor="text1"/>
      </w:pBdr>
      <w:shd w:val="clear" w:color="auto" w:fill="F2F2F2" w:themeFill="background1" w:themeFillShade="F2"/>
      <w:ind w:left="160" w:right="160"/>
      <w:mirrorIndents/>
    </w:pPr>
  </w:style>
  <w:style w:type="character" w:customStyle="1" w:styleId="KastChar">
    <w:name w:val="Kast Char"/>
    <w:basedOn w:val="PhitekstChar"/>
    <w:link w:val="Kast"/>
    <w:rsid w:val="00FD3F6B"/>
    <w:rPr>
      <w:rFonts w:ascii="Roboto Condensed" w:hAnsi="Roboto Condensed"/>
      <w:sz w:val="24"/>
      <w:shd w:val="clear" w:color="auto" w:fill="F2F2F2" w:themeFill="background1" w:themeFillShade="F2"/>
    </w:rPr>
  </w:style>
  <w:style w:type="paragraph" w:customStyle="1" w:styleId="Tiitellehtpealkiri">
    <w:name w:val="Tiitelleht pealkiri"/>
    <w:basedOn w:val="Pealkiri11"/>
    <w:link w:val="TiitellehtpealkiriChar"/>
    <w:qFormat/>
    <w:rsid w:val="00FD3F6B"/>
    <w:pPr>
      <w:ind w:left="357" w:hanging="357"/>
      <w:jc w:val="center"/>
    </w:pPr>
    <w:rPr>
      <w:sz w:val="40"/>
    </w:rPr>
  </w:style>
  <w:style w:type="character" w:customStyle="1" w:styleId="TiitellehtpealkiriChar">
    <w:name w:val="Tiitelleht pealkiri Char"/>
    <w:basedOn w:val="Pealkiri11Mrk"/>
    <w:link w:val="Tiitellehtpealkiri"/>
    <w:rsid w:val="00FD3F6B"/>
    <w:rPr>
      <w:rFonts w:ascii="Roboto Condensed" w:hAnsi="Roboto Condensed"/>
      <w:b/>
      <w:color w:val="006EB5"/>
      <w:sz w:val="40"/>
    </w:rPr>
  </w:style>
  <w:style w:type="paragraph" w:customStyle="1" w:styleId="Tiitellehtkuupev">
    <w:name w:val="Tiitelleht kuupäev"/>
    <w:basedOn w:val="Phitekst"/>
    <w:link w:val="TiitellehtkuupevChar"/>
    <w:qFormat/>
    <w:rsid w:val="00FD3F6B"/>
    <w:pPr>
      <w:jc w:val="center"/>
    </w:pPr>
    <w:rPr>
      <w:sz w:val="28"/>
    </w:rPr>
  </w:style>
  <w:style w:type="character" w:customStyle="1" w:styleId="TiitellehtkuupevChar">
    <w:name w:val="Tiitelleht kuupäev Char"/>
    <w:basedOn w:val="PhitekstChar"/>
    <w:link w:val="Tiitellehtkuupev"/>
    <w:rsid w:val="00FD3F6B"/>
    <w:rPr>
      <w:rFonts w:ascii="Roboto Condensed" w:hAnsi="Roboto Condensed"/>
      <w:sz w:val="28"/>
    </w:rPr>
  </w:style>
  <w:style w:type="paragraph" w:customStyle="1" w:styleId="Tabelid">
    <w:name w:val="Tabelid"/>
    <w:basedOn w:val="Normal"/>
    <w:link w:val="TabelidChar"/>
    <w:qFormat/>
    <w:rsid w:val="00FD3F6B"/>
    <w:pPr>
      <w:spacing w:after="0"/>
    </w:pPr>
    <w:rPr>
      <w:rFonts w:ascii="Segoe UI Light" w:hAnsi="Segoe UI Light" w:cs="Segoe UI Light"/>
      <w:sz w:val="18"/>
      <w:szCs w:val="18"/>
      <w:lang w:eastAsia="et-EE"/>
    </w:rPr>
  </w:style>
  <w:style w:type="character" w:customStyle="1" w:styleId="TabelidChar">
    <w:name w:val="Tabelid Char"/>
    <w:basedOn w:val="DefaultParagraphFont"/>
    <w:link w:val="Tabelid"/>
    <w:rsid w:val="00FD3F6B"/>
    <w:rPr>
      <w:rFonts w:ascii="Segoe UI Light" w:hAnsi="Segoe UI Light" w:cs="Segoe UI Light"/>
      <w:sz w:val="18"/>
      <w:szCs w:val="18"/>
      <w:lang w:eastAsia="et-EE"/>
    </w:rPr>
  </w:style>
  <w:style w:type="paragraph" w:customStyle="1" w:styleId="Rhutus1">
    <w:name w:val="Rõhutus1"/>
    <w:basedOn w:val="Phitekst"/>
    <w:link w:val="RhutusChar"/>
    <w:qFormat/>
    <w:rsid w:val="00FD3F6B"/>
    <w:pPr>
      <w:spacing w:after="0"/>
    </w:pPr>
    <w:rPr>
      <w:b/>
    </w:rPr>
  </w:style>
  <w:style w:type="character" w:customStyle="1" w:styleId="RhutusChar">
    <w:name w:val="Rõhutus Char"/>
    <w:basedOn w:val="PhitekstChar"/>
    <w:link w:val="Rhutus1"/>
    <w:rsid w:val="00FD3F6B"/>
    <w:rPr>
      <w:rFonts w:ascii="Roboto Condensed" w:hAnsi="Roboto Condensed"/>
      <w:b/>
      <w:sz w:val="24"/>
    </w:rPr>
  </w:style>
  <w:style w:type="paragraph" w:customStyle="1" w:styleId="Joonised">
    <w:name w:val="Joonised"/>
    <w:basedOn w:val="Phitekst"/>
    <w:link w:val="JoonisedChar"/>
    <w:rsid w:val="00FD3F6B"/>
    <w:rPr>
      <w:rFonts w:ascii="Segoe UI Light" w:hAnsi="Segoe UI Light"/>
      <w:noProof/>
      <w:sz w:val="16"/>
      <w:lang w:eastAsia="et-EE"/>
    </w:rPr>
  </w:style>
  <w:style w:type="character" w:customStyle="1" w:styleId="JoonisedChar">
    <w:name w:val="Joonised Char"/>
    <w:basedOn w:val="PhitekstChar"/>
    <w:link w:val="Joonised"/>
    <w:rsid w:val="00FD3F6B"/>
    <w:rPr>
      <w:rFonts w:ascii="Segoe UI Light" w:hAnsi="Segoe UI Light"/>
      <w:noProof/>
      <w:sz w:val="16"/>
      <w:lang w:eastAsia="et-EE"/>
    </w:rPr>
  </w:style>
  <w:style w:type="paragraph" w:customStyle="1" w:styleId="Kastisisenepealkiri">
    <w:name w:val="Kastisisene pealkiri"/>
    <w:basedOn w:val="Kast"/>
    <w:link w:val="KastisisenepealkiriChar"/>
    <w:qFormat/>
    <w:rsid w:val="00FD3F6B"/>
    <w:rPr>
      <w:b/>
    </w:rPr>
  </w:style>
  <w:style w:type="character" w:customStyle="1" w:styleId="KastisisenepealkiriChar">
    <w:name w:val="Kastisisene pealkiri Char"/>
    <w:basedOn w:val="KastChar"/>
    <w:link w:val="Kastisisenepealkiri"/>
    <w:rsid w:val="00FD3F6B"/>
    <w:rPr>
      <w:rFonts w:ascii="Roboto Condensed" w:hAnsi="Roboto Condensed"/>
      <w:b/>
      <w:sz w:val="24"/>
      <w:shd w:val="clear" w:color="auto" w:fill="F2F2F2" w:themeFill="background1" w:themeFillShade="F2"/>
    </w:rPr>
  </w:style>
  <w:style w:type="paragraph" w:customStyle="1" w:styleId="Loetelupunktidega">
    <w:name w:val="Loetelu punktidega"/>
    <w:basedOn w:val="Phitekst"/>
    <w:link w:val="LoetelupunktidegaChar"/>
    <w:qFormat/>
    <w:rsid w:val="00FD3F6B"/>
    <w:pPr>
      <w:numPr>
        <w:numId w:val="1"/>
      </w:numPr>
      <w:spacing w:after="60"/>
      <w:contextualSpacing/>
    </w:pPr>
  </w:style>
  <w:style w:type="character" w:customStyle="1" w:styleId="LoetelupunktidegaChar">
    <w:name w:val="Loetelu punktidega Char"/>
    <w:basedOn w:val="PhitekstChar"/>
    <w:link w:val="Loetelupunktidega"/>
    <w:rsid w:val="00FD3F6B"/>
    <w:rPr>
      <w:rFonts w:ascii="Roboto Condensed" w:hAnsi="Roboto Condensed"/>
      <w:sz w:val="24"/>
    </w:rPr>
  </w:style>
  <w:style w:type="paragraph" w:customStyle="1" w:styleId="Loetelu2tase">
    <w:name w:val="Loetelu 2. tase"/>
    <w:basedOn w:val="Loetelupunktidega"/>
    <w:link w:val="Loetelu2taseChar"/>
    <w:qFormat/>
    <w:rsid w:val="00FD3F6B"/>
    <w:pPr>
      <w:numPr>
        <w:ilvl w:val="1"/>
      </w:numPr>
    </w:pPr>
  </w:style>
  <w:style w:type="character" w:customStyle="1" w:styleId="Loetelu2taseChar">
    <w:name w:val="Loetelu 2. tase Char"/>
    <w:basedOn w:val="LoetelupunktidegaChar"/>
    <w:link w:val="Loetelu2tase"/>
    <w:rsid w:val="00FD3F6B"/>
    <w:rPr>
      <w:rFonts w:ascii="Roboto Condensed" w:hAnsi="Roboto Condensed"/>
      <w:sz w:val="24"/>
    </w:rPr>
  </w:style>
  <w:style w:type="paragraph" w:customStyle="1" w:styleId="Mrkus">
    <w:name w:val="Märkus"/>
    <w:basedOn w:val="Subtitle"/>
    <w:link w:val="MrkusChar"/>
    <w:qFormat/>
    <w:rsid w:val="00FD3F6B"/>
    <w:rPr>
      <w:rFonts w:ascii="Segoe UI" w:hAnsi="Segoe UI"/>
    </w:rPr>
  </w:style>
  <w:style w:type="character" w:customStyle="1" w:styleId="MrkusChar">
    <w:name w:val="Märkus Char"/>
    <w:basedOn w:val="SubtitleChar"/>
    <w:link w:val="Mrkus"/>
    <w:rsid w:val="00FD3F6B"/>
    <w:rPr>
      <w:rFonts w:ascii="Segoe UI" w:eastAsiaTheme="minorEastAsia" w:hAnsi="Segoe UI"/>
      <w:i/>
      <w:color w:val="5A5A5A" w:themeColor="text1" w:themeTint="A5"/>
      <w:spacing w:val="15"/>
      <w:sz w:val="16"/>
    </w:rPr>
  </w:style>
  <w:style w:type="character" w:customStyle="1" w:styleId="longtext">
    <w:name w:val="long_text"/>
    <w:basedOn w:val="DefaultParagraphFont"/>
    <w:uiPriority w:val="99"/>
    <w:rsid w:val="00494308"/>
    <w:rPr>
      <w:rFonts w:cs="Times New Roman"/>
    </w:rPr>
  </w:style>
  <w:style w:type="table" w:customStyle="1" w:styleId="GridTable3-Accent21">
    <w:name w:val="Grid Table 3 - Accent 21"/>
    <w:basedOn w:val="TableNormal"/>
    <w:uiPriority w:val="48"/>
    <w:rsid w:val="00494308"/>
    <w:pPr>
      <w:spacing w:after="0" w:line="240" w:lineRule="auto"/>
    </w:pPr>
    <w:tblPr>
      <w:tblStyleRowBandSize w:val="1"/>
      <w:tblStyleColBandSize w:val="1"/>
      <w:tblBorders>
        <w:top w:val="single" w:sz="4" w:space="0" w:color="FFE566" w:themeColor="accent2" w:themeTint="99"/>
        <w:left w:val="single" w:sz="4" w:space="0" w:color="FFE566" w:themeColor="accent2" w:themeTint="99"/>
        <w:bottom w:val="single" w:sz="4" w:space="0" w:color="FFE566" w:themeColor="accent2" w:themeTint="99"/>
        <w:right w:val="single" w:sz="4" w:space="0" w:color="FFE566" w:themeColor="accent2" w:themeTint="99"/>
        <w:insideH w:val="single" w:sz="4" w:space="0" w:color="FFE566" w:themeColor="accent2" w:themeTint="99"/>
        <w:insideV w:val="single" w:sz="4" w:space="0" w:color="FFE5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6CC" w:themeFill="accent2" w:themeFillTint="33"/>
      </w:tcPr>
    </w:tblStylePr>
    <w:tblStylePr w:type="band1Horz">
      <w:tblPr/>
      <w:tcPr>
        <w:shd w:val="clear" w:color="auto" w:fill="FFF6CC" w:themeFill="accent2" w:themeFillTint="33"/>
      </w:tcPr>
    </w:tblStylePr>
    <w:tblStylePr w:type="neCell">
      <w:tblPr/>
      <w:tcPr>
        <w:tcBorders>
          <w:bottom w:val="single" w:sz="4" w:space="0" w:color="FFE566" w:themeColor="accent2" w:themeTint="99"/>
        </w:tcBorders>
      </w:tcPr>
    </w:tblStylePr>
    <w:tblStylePr w:type="nwCell">
      <w:tblPr/>
      <w:tcPr>
        <w:tcBorders>
          <w:bottom w:val="single" w:sz="4" w:space="0" w:color="FFE566" w:themeColor="accent2" w:themeTint="99"/>
        </w:tcBorders>
      </w:tcPr>
    </w:tblStylePr>
    <w:tblStylePr w:type="seCell">
      <w:tblPr/>
      <w:tcPr>
        <w:tcBorders>
          <w:top w:val="single" w:sz="4" w:space="0" w:color="FFE566" w:themeColor="accent2" w:themeTint="99"/>
        </w:tcBorders>
      </w:tcPr>
    </w:tblStylePr>
    <w:tblStylePr w:type="swCell">
      <w:tblPr/>
      <w:tcPr>
        <w:tcBorders>
          <w:top w:val="single" w:sz="4" w:space="0" w:color="FFE566" w:themeColor="accent2" w:themeTint="99"/>
        </w:tcBorders>
      </w:tcPr>
    </w:tblStylePr>
  </w:style>
  <w:style w:type="table" w:customStyle="1" w:styleId="GridTable4-Accent21">
    <w:name w:val="Grid Table 4 - Accent 21"/>
    <w:basedOn w:val="TableNormal"/>
    <w:uiPriority w:val="49"/>
    <w:rsid w:val="00494308"/>
    <w:pPr>
      <w:spacing w:after="0" w:line="240" w:lineRule="auto"/>
    </w:pPr>
    <w:tblPr>
      <w:tblStyleRowBandSize w:val="1"/>
      <w:tblStyleColBandSize w:val="1"/>
      <w:tblBorders>
        <w:top w:val="single" w:sz="4" w:space="0" w:color="FFE566" w:themeColor="accent2" w:themeTint="99"/>
        <w:left w:val="single" w:sz="4" w:space="0" w:color="FFE566" w:themeColor="accent2" w:themeTint="99"/>
        <w:bottom w:val="single" w:sz="4" w:space="0" w:color="FFE566" w:themeColor="accent2" w:themeTint="99"/>
        <w:right w:val="single" w:sz="4" w:space="0" w:color="FFE566" w:themeColor="accent2" w:themeTint="99"/>
        <w:insideH w:val="single" w:sz="4" w:space="0" w:color="FFE566" w:themeColor="accent2" w:themeTint="99"/>
        <w:insideV w:val="single" w:sz="4" w:space="0" w:color="FFE566" w:themeColor="accent2" w:themeTint="99"/>
      </w:tblBorders>
    </w:tblPr>
    <w:tblStylePr w:type="firstRow">
      <w:rPr>
        <w:b/>
        <w:bCs/>
        <w:color w:val="FFFFFF" w:themeColor="background1"/>
      </w:rPr>
      <w:tblPr/>
      <w:tcPr>
        <w:tcBorders>
          <w:top w:val="single" w:sz="4" w:space="0" w:color="FFD500" w:themeColor="accent2"/>
          <w:left w:val="single" w:sz="4" w:space="0" w:color="FFD500" w:themeColor="accent2"/>
          <w:bottom w:val="single" w:sz="4" w:space="0" w:color="FFD500" w:themeColor="accent2"/>
          <w:right w:val="single" w:sz="4" w:space="0" w:color="FFD500" w:themeColor="accent2"/>
          <w:insideH w:val="nil"/>
          <w:insideV w:val="nil"/>
        </w:tcBorders>
        <w:shd w:val="clear" w:color="auto" w:fill="FFD500" w:themeFill="accent2"/>
      </w:tcPr>
    </w:tblStylePr>
    <w:tblStylePr w:type="lastRow">
      <w:rPr>
        <w:b/>
        <w:bCs/>
      </w:rPr>
      <w:tblPr/>
      <w:tcPr>
        <w:tcBorders>
          <w:top w:val="double" w:sz="4" w:space="0" w:color="FFD500" w:themeColor="accent2"/>
        </w:tcBorders>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table" w:customStyle="1" w:styleId="GridTable2-Accent21">
    <w:name w:val="Grid Table 2 - Accent 21"/>
    <w:basedOn w:val="TableNormal"/>
    <w:uiPriority w:val="47"/>
    <w:rsid w:val="00494308"/>
    <w:pPr>
      <w:spacing w:after="0" w:line="240" w:lineRule="auto"/>
    </w:pPr>
    <w:tblPr>
      <w:tblStyleRowBandSize w:val="1"/>
      <w:tblStyleColBandSize w:val="1"/>
      <w:tblBorders>
        <w:top w:val="single" w:sz="2" w:space="0" w:color="FFE566" w:themeColor="accent2" w:themeTint="99"/>
        <w:bottom w:val="single" w:sz="2" w:space="0" w:color="FFE566" w:themeColor="accent2" w:themeTint="99"/>
        <w:insideH w:val="single" w:sz="2" w:space="0" w:color="FFE566" w:themeColor="accent2" w:themeTint="99"/>
        <w:insideV w:val="single" w:sz="2" w:space="0" w:color="FFE566" w:themeColor="accent2" w:themeTint="99"/>
      </w:tblBorders>
    </w:tblPr>
    <w:tblStylePr w:type="firstRow">
      <w:rPr>
        <w:b/>
        <w:bCs/>
      </w:rPr>
      <w:tblPr/>
      <w:tcPr>
        <w:tcBorders>
          <w:top w:val="nil"/>
          <w:bottom w:val="single" w:sz="12" w:space="0" w:color="FFE566" w:themeColor="accent2" w:themeTint="99"/>
          <w:insideH w:val="nil"/>
          <w:insideV w:val="nil"/>
        </w:tcBorders>
        <w:shd w:val="clear" w:color="auto" w:fill="FFFFFF" w:themeFill="background1"/>
      </w:tcPr>
    </w:tblStylePr>
    <w:tblStylePr w:type="lastRow">
      <w:rPr>
        <w:b/>
        <w:bCs/>
      </w:rPr>
      <w:tblPr/>
      <w:tcPr>
        <w:tcBorders>
          <w:top w:val="double" w:sz="2" w:space="0" w:color="FFE5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paragraph" w:customStyle="1" w:styleId="Tabelitekst">
    <w:name w:val="Tabeli tekst"/>
    <w:basedOn w:val="Normal"/>
    <w:rsid w:val="00494308"/>
    <w:pPr>
      <w:suppressAutoHyphens/>
      <w:spacing w:after="0"/>
    </w:pPr>
    <w:rPr>
      <w:rFonts w:eastAsia="Times New Roman" w:cs="Times New Roman"/>
      <w:sz w:val="20"/>
      <w:szCs w:val="20"/>
      <w:lang w:eastAsia="ar-SA"/>
    </w:rPr>
  </w:style>
  <w:style w:type="paragraph" w:customStyle="1" w:styleId="Default">
    <w:name w:val="Default"/>
    <w:rsid w:val="00494308"/>
    <w:pPr>
      <w:autoSpaceDE w:val="0"/>
      <w:autoSpaceDN w:val="0"/>
      <w:adjustRightInd w:val="0"/>
      <w:spacing w:after="0" w:line="240" w:lineRule="auto"/>
    </w:pPr>
    <w:rPr>
      <w:rFonts w:ascii="Roboto Condensed" w:eastAsia="Calibri" w:hAnsi="Roboto Condensed" w:cs="Garamond"/>
      <w:color w:val="000000"/>
      <w:sz w:val="24"/>
      <w:szCs w:val="24"/>
    </w:rPr>
  </w:style>
  <w:style w:type="table" w:customStyle="1" w:styleId="ListTable1Light-Accent21">
    <w:name w:val="List Table 1 Light - Accent 21"/>
    <w:basedOn w:val="TableNormal"/>
    <w:uiPriority w:val="46"/>
    <w:rsid w:val="00494308"/>
    <w:pPr>
      <w:spacing w:after="0" w:line="240" w:lineRule="auto"/>
    </w:pPr>
    <w:tblPr>
      <w:tblStyleRowBandSize w:val="1"/>
      <w:tblStyleColBandSize w:val="1"/>
    </w:tblPr>
    <w:tblStylePr w:type="firstRow">
      <w:rPr>
        <w:b/>
        <w:bCs/>
      </w:rPr>
      <w:tblPr/>
      <w:tcPr>
        <w:tcBorders>
          <w:bottom w:val="single" w:sz="4" w:space="0" w:color="FFE566" w:themeColor="accent2" w:themeTint="99"/>
        </w:tcBorders>
      </w:tcPr>
    </w:tblStylePr>
    <w:tblStylePr w:type="lastRow">
      <w:rPr>
        <w:b/>
        <w:bCs/>
      </w:rPr>
      <w:tblPr/>
      <w:tcPr>
        <w:tcBorders>
          <w:top w:val="single" w:sz="4" w:space="0" w:color="FFE566" w:themeColor="accent2" w:themeTint="99"/>
        </w:tcBorders>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table" w:customStyle="1" w:styleId="ListTable2-Accent21">
    <w:name w:val="List Table 2 - Accent 21"/>
    <w:basedOn w:val="TableNormal"/>
    <w:uiPriority w:val="47"/>
    <w:rsid w:val="00494308"/>
    <w:pPr>
      <w:spacing w:after="0" w:line="240" w:lineRule="auto"/>
    </w:pPr>
    <w:tblPr>
      <w:tblStyleRowBandSize w:val="1"/>
      <w:tblStyleColBandSize w:val="1"/>
      <w:tblBorders>
        <w:top w:val="single" w:sz="4" w:space="0" w:color="FFE566" w:themeColor="accent2" w:themeTint="99"/>
        <w:bottom w:val="single" w:sz="4" w:space="0" w:color="FFE566" w:themeColor="accent2" w:themeTint="99"/>
        <w:insideH w:val="single" w:sz="4" w:space="0" w:color="FFE5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paragraph" w:styleId="CommentText">
    <w:name w:val="annotation text"/>
    <w:basedOn w:val="Normal"/>
    <w:link w:val="CommentTextChar"/>
    <w:uiPriority w:val="99"/>
    <w:unhideWhenUsed/>
    <w:rsid w:val="00494308"/>
    <w:rPr>
      <w:szCs w:val="20"/>
    </w:rPr>
  </w:style>
  <w:style w:type="character" w:customStyle="1" w:styleId="CommentTextChar">
    <w:name w:val="Comment Text Char"/>
    <w:basedOn w:val="DefaultParagraphFont"/>
    <w:link w:val="CommentText"/>
    <w:uiPriority w:val="99"/>
    <w:rsid w:val="00494308"/>
    <w:rPr>
      <w:rFonts w:ascii="Roboto Condensed" w:hAnsi="Roboto Condensed"/>
      <w:sz w:val="24"/>
      <w:szCs w:val="20"/>
    </w:rPr>
  </w:style>
  <w:style w:type="paragraph" w:styleId="CommentSubject">
    <w:name w:val="annotation subject"/>
    <w:basedOn w:val="CommentText"/>
    <w:next w:val="CommentText"/>
    <w:link w:val="CommentSubjectChar"/>
    <w:uiPriority w:val="99"/>
    <w:semiHidden/>
    <w:rsid w:val="00494308"/>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494308"/>
    <w:rPr>
      <w:rFonts w:ascii="Times New Roman" w:eastAsia="Times New Roman" w:hAnsi="Times New Roman" w:cs="Times New Roman"/>
      <w:b/>
      <w:bCs/>
      <w:sz w:val="24"/>
      <w:szCs w:val="20"/>
    </w:rPr>
  </w:style>
  <w:style w:type="character" w:styleId="Strong">
    <w:name w:val="Strong"/>
    <w:basedOn w:val="DefaultParagraphFont"/>
    <w:uiPriority w:val="22"/>
    <w:qFormat/>
    <w:rsid w:val="00494308"/>
    <w:rPr>
      <w:rFonts w:cs="Times New Roman"/>
      <w:b/>
      <w:bCs/>
    </w:rPr>
  </w:style>
  <w:style w:type="character" w:styleId="CommentReference">
    <w:name w:val="annotation reference"/>
    <w:basedOn w:val="DefaultParagraphFont"/>
    <w:uiPriority w:val="99"/>
    <w:semiHidden/>
    <w:unhideWhenUsed/>
    <w:rsid w:val="00494308"/>
    <w:rPr>
      <w:sz w:val="16"/>
      <w:szCs w:val="16"/>
    </w:rPr>
  </w:style>
  <w:style w:type="paragraph" w:styleId="Revision">
    <w:name w:val="Revision"/>
    <w:hidden/>
    <w:uiPriority w:val="99"/>
    <w:semiHidden/>
    <w:rsid w:val="00494308"/>
    <w:pPr>
      <w:spacing w:after="0" w:line="240" w:lineRule="auto"/>
    </w:pPr>
    <w:rPr>
      <w:rFonts w:ascii="Georgia" w:hAnsi="Georgia"/>
      <w:sz w:val="20"/>
    </w:rPr>
  </w:style>
  <w:style w:type="table" w:customStyle="1" w:styleId="ListTable1Light-Accent211">
    <w:name w:val="List Table 1 Light - Accent 211"/>
    <w:basedOn w:val="TableNormal"/>
    <w:uiPriority w:val="46"/>
    <w:rsid w:val="00494308"/>
    <w:pPr>
      <w:spacing w:after="0" w:line="240" w:lineRule="auto"/>
    </w:pPr>
    <w:tblPr>
      <w:tblStyleRowBandSize w:val="1"/>
      <w:tblStyleColBandSize w:val="1"/>
    </w:tblPr>
    <w:tblStylePr w:type="firstRow">
      <w:rPr>
        <w:b/>
        <w:bCs/>
      </w:rPr>
      <w:tblPr/>
      <w:tcPr>
        <w:tcBorders>
          <w:bottom w:val="single" w:sz="4" w:space="0" w:color="FFE566" w:themeColor="accent2" w:themeTint="99"/>
        </w:tcBorders>
      </w:tcPr>
    </w:tblStylePr>
    <w:tblStylePr w:type="lastRow">
      <w:rPr>
        <w:b/>
        <w:bCs/>
      </w:rPr>
      <w:tblPr/>
      <w:tcPr>
        <w:tcBorders>
          <w:top w:val="single" w:sz="4" w:space="0" w:color="FFE566" w:themeColor="accent2" w:themeTint="99"/>
        </w:tcBorders>
      </w:tcPr>
    </w:tblStylePr>
    <w:tblStylePr w:type="firstCol">
      <w:rPr>
        <w:b/>
        <w:bCs/>
      </w:rPr>
    </w:tblStylePr>
    <w:tblStylePr w:type="lastCol">
      <w:rPr>
        <w:b/>
        <w:bCs/>
      </w:rPr>
    </w:tblStylePr>
    <w:tblStylePr w:type="band1Vert">
      <w:tblPr/>
      <w:tcPr>
        <w:shd w:val="clear" w:color="auto" w:fill="FFF6CC" w:themeFill="accent2" w:themeFillTint="33"/>
      </w:tcPr>
    </w:tblStylePr>
    <w:tblStylePr w:type="band1Horz">
      <w:tblPr/>
      <w:tcPr>
        <w:shd w:val="clear" w:color="auto" w:fill="FFF6CC" w:themeFill="accent2" w:themeFillTint="33"/>
      </w:tcPr>
    </w:tblStylePr>
  </w:style>
  <w:style w:type="paragraph" w:styleId="NormalWeb">
    <w:name w:val="Normal (Web)"/>
    <w:basedOn w:val="Normal"/>
    <w:uiPriority w:val="99"/>
    <w:rsid w:val="00494308"/>
    <w:pPr>
      <w:spacing w:before="100" w:beforeAutospacing="1" w:after="100" w:afterAutospacing="1"/>
    </w:pPr>
    <w:rPr>
      <w:rFonts w:eastAsia="Arial Unicode MS" w:cs="Arial Unicode MS"/>
      <w:color w:val="000000"/>
      <w:szCs w:val="24"/>
      <w:lang w:val="en-GB"/>
    </w:rPr>
  </w:style>
  <w:style w:type="table" w:customStyle="1" w:styleId="LightGrid-Accent12">
    <w:name w:val="Light Grid - Accent 12"/>
    <w:basedOn w:val="TableNormal"/>
    <w:uiPriority w:val="62"/>
    <w:rsid w:val="00494308"/>
    <w:pPr>
      <w:spacing w:after="0" w:line="240" w:lineRule="auto"/>
    </w:pPr>
    <w:rPr>
      <w:rFonts w:ascii="Times New Roman" w:eastAsia="Times New Roman" w:hAnsi="Times New Roman" w:cs="Times New Roman"/>
      <w:sz w:val="20"/>
      <w:szCs w:val="20"/>
      <w:lang w:eastAsia="et-EE"/>
    </w:rPr>
    <w:tblPr>
      <w:tblStyleRowBandSize w:val="1"/>
      <w:tblStyleColBandSize w:val="1"/>
      <w:tblBorders>
        <w:top w:val="single" w:sz="8" w:space="0" w:color="005BBB" w:themeColor="accent1"/>
        <w:left w:val="single" w:sz="8" w:space="0" w:color="005BBB" w:themeColor="accent1"/>
        <w:bottom w:val="single" w:sz="8" w:space="0" w:color="005BBB" w:themeColor="accent1"/>
        <w:right w:val="single" w:sz="8" w:space="0" w:color="005BBB" w:themeColor="accent1"/>
        <w:insideH w:val="single" w:sz="8" w:space="0" w:color="005BBB" w:themeColor="accent1"/>
        <w:insideV w:val="single" w:sz="8" w:space="0" w:color="005BB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BBB" w:themeColor="accent1"/>
          <w:left w:val="single" w:sz="8" w:space="0" w:color="005BBB" w:themeColor="accent1"/>
          <w:bottom w:val="single" w:sz="18" w:space="0" w:color="005BBB" w:themeColor="accent1"/>
          <w:right w:val="single" w:sz="8" w:space="0" w:color="005BBB" w:themeColor="accent1"/>
          <w:insideH w:val="nil"/>
          <w:insideV w:val="single" w:sz="8" w:space="0" w:color="005BB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BBB" w:themeColor="accent1"/>
          <w:left w:val="single" w:sz="8" w:space="0" w:color="005BBB" w:themeColor="accent1"/>
          <w:bottom w:val="single" w:sz="8" w:space="0" w:color="005BBB" w:themeColor="accent1"/>
          <w:right w:val="single" w:sz="8" w:space="0" w:color="005BBB" w:themeColor="accent1"/>
          <w:insideH w:val="nil"/>
          <w:insideV w:val="single" w:sz="8" w:space="0" w:color="005BB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BBB" w:themeColor="accent1"/>
          <w:left w:val="single" w:sz="8" w:space="0" w:color="005BBB" w:themeColor="accent1"/>
          <w:bottom w:val="single" w:sz="8" w:space="0" w:color="005BBB" w:themeColor="accent1"/>
          <w:right w:val="single" w:sz="8" w:space="0" w:color="005BBB" w:themeColor="accent1"/>
        </w:tcBorders>
      </w:tcPr>
    </w:tblStylePr>
    <w:tblStylePr w:type="band1Vert">
      <w:tblPr/>
      <w:tcPr>
        <w:tcBorders>
          <w:top w:val="single" w:sz="8" w:space="0" w:color="005BBB" w:themeColor="accent1"/>
          <w:left w:val="single" w:sz="8" w:space="0" w:color="005BBB" w:themeColor="accent1"/>
          <w:bottom w:val="single" w:sz="8" w:space="0" w:color="005BBB" w:themeColor="accent1"/>
          <w:right w:val="single" w:sz="8" w:space="0" w:color="005BBB" w:themeColor="accent1"/>
        </w:tcBorders>
        <w:shd w:val="clear" w:color="auto" w:fill="AFD5FF" w:themeFill="accent1" w:themeFillTint="3F"/>
      </w:tcPr>
    </w:tblStylePr>
    <w:tblStylePr w:type="band1Horz">
      <w:tblPr/>
      <w:tcPr>
        <w:tcBorders>
          <w:top w:val="single" w:sz="8" w:space="0" w:color="005BBB" w:themeColor="accent1"/>
          <w:left w:val="single" w:sz="8" w:space="0" w:color="005BBB" w:themeColor="accent1"/>
          <w:bottom w:val="single" w:sz="8" w:space="0" w:color="005BBB" w:themeColor="accent1"/>
          <w:right w:val="single" w:sz="8" w:space="0" w:color="005BBB" w:themeColor="accent1"/>
          <w:insideV w:val="single" w:sz="8" w:space="0" w:color="005BBB" w:themeColor="accent1"/>
        </w:tcBorders>
        <w:shd w:val="clear" w:color="auto" w:fill="AFD5FF" w:themeFill="accent1" w:themeFillTint="3F"/>
      </w:tcPr>
    </w:tblStylePr>
    <w:tblStylePr w:type="band2Horz">
      <w:tblPr/>
      <w:tcPr>
        <w:tcBorders>
          <w:top w:val="single" w:sz="8" w:space="0" w:color="005BBB" w:themeColor="accent1"/>
          <w:left w:val="single" w:sz="8" w:space="0" w:color="005BBB" w:themeColor="accent1"/>
          <w:bottom w:val="single" w:sz="8" w:space="0" w:color="005BBB" w:themeColor="accent1"/>
          <w:right w:val="single" w:sz="8" w:space="0" w:color="005BBB" w:themeColor="accent1"/>
          <w:insideV w:val="single" w:sz="8" w:space="0" w:color="005BBB" w:themeColor="accent1"/>
        </w:tcBorders>
      </w:tcPr>
    </w:tblStylePr>
  </w:style>
  <w:style w:type="paragraph" w:styleId="TOCHeading">
    <w:name w:val="TOC Heading"/>
    <w:basedOn w:val="Heading1"/>
    <w:next w:val="Normal"/>
    <w:uiPriority w:val="39"/>
    <w:unhideWhenUsed/>
    <w:qFormat/>
    <w:rsid w:val="00494308"/>
    <w:pPr>
      <w:numPr>
        <w:numId w:val="0"/>
      </w:numPr>
      <w:spacing w:after="0"/>
      <w:outlineLvl w:val="9"/>
    </w:pPr>
    <w:rPr>
      <w:color w:val="00448C" w:themeColor="accent1" w:themeShade="BF"/>
      <w:lang w:val="en-US"/>
    </w:rPr>
  </w:style>
  <w:style w:type="character" w:styleId="FollowedHyperlink">
    <w:name w:val="FollowedHyperlink"/>
    <w:basedOn w:val="DefaultParagraphFont"/>
    <w:uiPriority w:val="99"/>
    <w:semiHidden/>
    <w:unhideWhenUsed/>
    <w:rsid w:val="00494308"/>
    <w:rPr>
      <w:color w:val="954F72" w:themeColor="followedHyperlink"/>
      <w:u w:val="single"/>
    </w:rPr>
  </w:style>
  <w:style w:type="character" w:customStyle="1" w:styleId="UnresolvedMention1">
    <w:name w:val="Unresolved Mention1"/>
    <w:basedOn w:val="DefaultParagraphFont"/>
    <w:uiPriority w:val="99"/>
    <w:semiHidden/>
    <w:unhideWhenUsed/>
    <w:rsid w:val="00494308"/>
    <w:rPr>
      <w:color w:val="605E5C"/>
      <w:shd w:val="clear" w:color="auto" w:fill="E1DFDD"/>
    </w:rPr>
  </w:style>
  <w:style w:type="character" w:customStyle="1" w:styleId="Lahendamatamainimine1">
    <w:name w:val="Lahendamata mainimine1"/>
    <w:basedOn w:val="DefaultParagraphFont"/>
    <w:uiPriority w:val="99"/>
    <w:semiHidden/>
    <w:unhideWhenUsed/>
    <w:rsid w:val="00494308"/>
    <w:rPr>
      <w:color w:val="605E5C"/>
      <w:shd w:val="clear" w:color="auto" w:fill="E1DFDD"/>
    </w:rPr>
  </w:style>
  <w:style w:type="table" w:styleId="GridTable1Light">
    <w:name w:val="Grid Table 1 Light"/>
    <w:basedOn w:val="TableNormal"/>
    <w:uiPriority w:val="46"/>
    <w:rsid w:val="00FD3F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FD3F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D3F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D3F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D3F6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aad1">
    <w:name w:val="Laad1"/>
    <w:basedOn w:val="TableNormal"/>
    <w:uiPriority w:val="99"/>
    <w:rsid w:val="00FD3F6B"/>
    <w:pPr>
      <w:spacing w:after="0" w:line="240" w:lineRule="auto"/>
    </w:pPr>
    <w:tblPr>
      <w:tblStyleRowBandSize w:val="1"/>
    </w:tblPr>
    <w:tblStylePr w:type="band1Horz">
      <w:tblPr/>
      <w:tcPr>
        <w:shd w:val="clear" w:color="auto" w:fill="D9D9D6"/>
      </w:tcPr>
    </w:tblStylePr>
  </w:style>
  <w:style w:type="table" w:customStyle="1" w:styleId="Laad2">
    <w:name w:val="Laad2"/>
    <w:basedOn w:val="TableNormal"/>
    <w:uiPriority w:val="99"/>
    <w:rsid w:val="00FD3F6B"/>
    <w:pPr>
      <w:spacing w:after="0" w:line="240" w:lineRule="auto"/>
    </w:pPr>
    <w:tblPr>
      <w:tblStyleRowBandSize w:val="1"/>
    </w:tblPr>
    <w:tblStylePr w:type="band1Horz">
      <w:tblPr/>
      <w:tcPr>
        <w:shd w:val="clear" w:color="auto" w:fill="B9D9EB"/>
      </w:tcPr>
    </w:tblStylePr>
  </w:style>
  <w:style w:type="table" w:styleId="TableSubtle1">
    <w:name w:val="Table Subtle 1"/>
    <w:basedOn w:val="TableNormal"/>
    <w:uiPriority w:val="99"/>
    <w:rsid w:val="00FD3F6B"/>
    <w:pPr>
      <w:spacing w:after="120" w:line="240" w:lineRule="auto"/>
      <w:jc w:val="both"/>
    </w:pPr>
    <w:rPr>
      <w:rFonts w:ascii="Roboto Condensed" w:hAnsi="Roboto Condensed"/>
    </w:rPr>
    <w:tblPr>
      <w:tblStyleRowBandSize w:val="1"/>
    </w:tblPr>
    <w:tcPr>
      <w:shd w:val="clear" w:color="auto" w:fill="auto"/>
    </w:tcPr>
    <w:tblStylePr w:type="firstRow">
      <w:rPr>
        <w:rFonts w:ascii="Roboto Condensed" w:hAnsi="Roboto Condensed"/>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oboto Condensed" w:hAnsi="Roboto Condensed"/>
        <w:b/>
        <w:sz w:val="22"/>
      </w:rPr>
      <w:tblPr/>
      <w:tcPr>
        <w:shd w:val="clear" w:color="auto" w:fill="D9D9D6"/>
      </w:tcPr>
    </w:tblStylePr>
    <w:tblStylePr w:type="firstCol">
      <w:rPr>
        <w:rFonts w:ascii="Roboto Condensed" w:hAnsi="Roboto Condensed"/>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aad3">
    <w:name w:val="Laad3"/>
    <w:basedOn w:val="TableNormal"/>
    <w:uiPriority w:val="99"/>
    <w:rsid w:val="00FD3F6B"/>
    <w:pPr>
      <w:spacing w:after="0" w:line="240" w:lineRule="auto"/>
    </w:pPr>
    <w:tblPr>
      <w:tblStyleRowBandSize w:val="1"/>
    </w:tblPr>
    <w:tblStylePr w:type="band2Horz">
      <w:tblPr/>
      <w:tcPr>
        <w:shd w:val="clear" w:color="auto" w:fill="D9D9D6"/>
      </w:tcPr>
    </w:tblStylePr>
  </w:style>
  <w:style w:type="table" w:customStyle="1" w:styleId="Laad4">
    <w:name w:val="Laad4"/>
    <w:basedOn w:val="TableNormal"/>
    <w:uiPriority w:val="99"/>
    <w:rsid w:val="00494308"/>
    <w:pPr>
      <w:spacing w:after="0" w:line="240" w:lineRule="auto"/>
    </w:pPr>
    <w:tblPr>
      <w:tblStyleRowBandSize w:val="1"/>
    </w:tblPr>
    <w:tblStylePr w:type="band1Horz">
      <w:tblPr/>
      <w:tcPr>
        <w:shd w:val="clear" w:color="auto" w:fill="E7E6E6" w:themeFill="background2"/>
      </w:tcPr>
    </w:tblStylePr>
  </w:style>
  <w:style w:type="paragraph" w:customStyle="1" w:styleId="Numbritapealkiri">
    <w:name w:val="Numbrita pealkiri"/>
    <w:basedOn w:val="Heading1"/>
    <w:rsid w:val="00494308"/>
    <w:pPr>
      <w:numPr>
        <w:numId w:val="0"/>
      </w:numPr>
    </w:pPr>
  </w:style>
  <w:style w:type="table" w:customStyle="1" w:styleId="PlainTable211">
    <w:name w:val="Plain Table 211"/>
    <w:basedOn w:val="TableNormal"/>
    <w:uiPriority w:val="42"/>
    <w:rsid w:val="00494308"/>
    <w:pPr>
      <w:spacing w:after="0" w:line="240" w:lineRule="auto"/>
      <w:jc w:val="right"/>
    </w:pPr>
    <w:tblPr>
      <w:tblStyleRowBandSize w:val="1"/>
      <w:tblStyleColBandSize w:val="1"/>
      <w:tblBorders>
        <w:top w:val="single" w:sz="4" w:space="0" w:color="7F7F7F" w:themeColor="text1" w:themeTint="80"/>
        <w:bottom w:val="single" w:sz="4" w:space="0" w:color="7F7F7F" w:themeColor="text1" w:themeTint="80"/>
      </w:tblBorders>
    </w:tblPr>
    <w:tcPr>
      <w:shd w:val="clear" w:color="auto" w:fill="auto"/>
      <w:vAlign w:val="center"/>
    </w:tcPr>
    <w:tblStylePr w:type="firstRow">
      <w:pPr>
        <w:keepNext/>
        <w:keepLines/>
        <w:widowControl/>
        <w:wordWrap/>
        <w:jc w:val="center"/>
      </w:pPr>
      <w:rPr>
        <w:rFonts w:ascii="Roboto Condensed" w:hAnsi="Roboto Condensed"/>
        <w:b/>
        <w:bCs/>
        <w:sz w:val="22"/>
      </w:rPr>
      <w:tblPr/>
      <w:tcPr>
        <w:tcBorders>
          <w:top w:val="single" w:sz="4" w:space="0" w:color="auto"/>
          <w:left w:val="nil"/>
          <w:bottom w:val="single" w:sz="8" w:space="0" w:color="auto"/>
          <w:right w:val="nil"/>
          <w:insideH w:val="nil"/>
          <w:insideV w:val="nil"/>
          <w:tl2br w:val="nil"/>
          <w:tr2bl w:val="nil"/>
        </w:tcBorders>
      </w:tcPr>
    </w:tblStylePr>
    <w:tblStylePr w:type="lastRow">
      <w:rPr>
        <w:rFonts w:ascii="Roboto Condensed" w:hAnsi="Roboto Condensed"/>
        <w:b/>
        <w:bCs/>
        <w:sz w:val="22"/>
      </w:rPr>
      <w:tblPr/>
      <w:tcPr>
        <w:tcBorders>
          <w:top w:val="single" w:sz="8" w:space="0" w:color="auto"/>
        </w:tcBorders>
      </w:tcPr>
    </w:tblStylePr>
    <w:tblStylePr w:type="firstCol">
      <w:pPr>
        <w:jc w:val="left"/>
      </w:pPr>
      <w:rPr>
        <w:rFonts w:ascii="Roboto Condensed" w:hAnsi="Roboto Condensed"/>
        <w:b/>
        <w:bCs/>
        <w:sz w:val="22"/>
      </w:rPr>
      <w:tblPr/>
      <w:tcPr>
        <w:tcBorders>
          <w:right w:val="single" w:sz="8" w:space="0" w:color="auto"/>
        </w:tcBorders>
      </w:tcPr>
    </w:tblStylePr>
    <w:tblStylePr w:type="lastCol">
      <w:pPr>
        <w:wordWrap/>
        <w:spacing w:afterLines="240" w:after="240" w:afterAutospacing="0"/>
      </w:pPr>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shd w:val="clear" w:color="auto" w:fill="E7E6E6" w:themeFill="background2"/>
      </w:tcPr>
    </w:tblStylePr>
  </w:style>
  <w:style w:type="paragraph" w:customStyle="1" w:styleId="Pealkiri41">
    <w:name w:val="Pealkiri 41"/>
    <w:aliases w:val="tekstisisene"/>
    <w:next w:val="Phitekst"/>
    <w:rsid w:val="00FD3F6B"/>
    <w:pPr>
      <w:spacing w:after="120" w:line="240" w:lineRule="auto"/>
    </w:pPr>
    <w:rPr>
      <w:rFonts w:ascii="Segoe UI" w:eastAsiaTheme="majorEastAsia" w:hAnsi="Segoe UI" w:cstheme="majorBidi"/>
      <w:b/>
      <w:i/>
      <w:iCs/>
      <w:sz w:val="20"/>
    </w:rPr>
  </w:style>
  <w:style w:type="table" w:customStyle="1" w:styleId="Peentabel11">
    <w:name w:val="Peen tabel 11"/>
    <w:basedOn w:val="TableNormal"/>
    <w:next w:val="TableSubtle1"/>
    <w:uiPriority w:val="99"/>
    <w:rsid w:val="00904451"/>
    <w:pPr>
      <w:spacing w:after="120" w:line="240" w:lineRule="auto"/>
      <w:jc w:val="both"/>
    </w:pPr>
    <w:rPr>
      <w:rFonts w:ascii="Roboto Condensed" w:hAnsi="Roboto Condensed"/>
    </w:rPr>
    <w:tblPr>
      <w:tblStyleRowBandSize w:val="1"/>
    </w:tblPr>
    <w:tcPr>
      <w:shd w:val="clear" w:color="auto" w:fill="auto"/>
    </w:tcPr>
    <w:tblStylePr w:type="firstRow">
      <w:rPr>
        <w:rFonts w:ascii="Roboto Condensed" w:hAnsi="Roboto Condensed"/>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oboto Condensed" w:hAnsi="Roboto Condensed"/>
        <w:b/>
        <w:sz w:val="22"/>
      </w:rPr>
      <w:tblPr/>
      <w:tcPr>
        <w:shd w:val="clear" w:color="auto" w:fill="D9D9D6"/>
      </w:tcPr>
    </w:tblStylePr>
    <w:tblStylePr w:type="firstCol">
      <w:rPr>
        <w:rFonts w:ascii="Roboto Condensed" w:hAnsi="Roboto Condensed"/>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eentabel12">
    <w:name w:val="Peen tabel 12"/>
    <w:basedOn w:val="TableNormal"/>
    <w:next w:val="TableSubtle1"/>
    <w:uiPriority w:val="99"/>
    <w:rsid w:val="00904451"/>
    <w:pPr>
      <w:spacing w:after="120" w:line="240" w:lineRule="auto"/>
      <w:jc w:val="both"/>
    </w:pPr>
    <w:rPr>
      <w:rFonts w:ascii="Roboto Condensed" w:hAnsi="Roboto Condensed"/>
    </w:rPr>
    <w:tblPr>
      <w:tblStyleRowBandSize w:val="1"/>
    </w:tblPr>
    <w:tcPr>
      <w:shd w:val="clear" w:color="auto" w:fill="auto"/>
    </w:tcPr>
    <w:tblStylePr w:type="firstRow">
      <w:rPr>
        <w:rFonts w:ascii="Roboto Condensed" w:hAnsi="Roboto Condensed"/>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oboto Condensed" w:hAnsi="Roboto Condensed"/>
        <w:b/>
        <w:sz w:val="22"/>
      </w:rPr>
      <w:tblPr/>
      <w:tcPr>
        <w:shd w:val="clear" w:color="auto" w:fill="D9D9D6"/>
      </w:tcPr>
    </w:tblStylePr>
    <w:tblStylePr w:type="firstCol">
      <w:rPr>
        <w:rFonts w:ascii="Roboto Condensed" w:hAnsi="Roboto Condensed"/>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perlink1">
    <w:name w:val="Hüperlink1"/>
    <w:basedOn w:val="DefaultParagraphFont"/>
    <w:uiPriority w:val="99"/>
    <w:unhideWhenUsed/>
    <w:rsid w:val="009C1060"/>
    <w:rPr>
      <w:color w:val="0563C1"/>
      <w:u w:val="single"/>
    </w:rPr>
  </w:style>
  <w:style w:type="character" w:customStyle="1" w:styleId="Lahendamatamainimine2">
    <w:name w:val="Lahendamata mainimine2"/>
    <w:basedOn w:val="DefaultParagraphFont"/>
    <w:uiPriority w:val="99"/>
    <w:semiHidden/>
    <w:unhideWhenUsed/>
    <w:rsid w:val="00D00C4B"/>
    <w:rPr>
      <w:color w:val="605E5C"/>
      <w:shd w:val="clear" w:color="auto" w:fill="E1DFDD"/>
    </w:rPr>
  </w:style>
  <w:style w:type="character" w:customStyle="1" w:styleId="Lahendamatamainimine3">
    <w:name w:val="Lahendamata mainimine3"/>
    <w:basedOn w:val="DefaultParagraphFont"/>
    <w:uiPriority w:val="99"/>
    <w:semiHidden/>
    <w:unhideWhenUsed/>
    <w:rsid w:val="00853475"/>
    <w:rPr>
      <w:color w:val="605E5C"/>
      <w:shd w:val="clear" w:color="auto" w:fill="E1DFDD"/>
    </w:rPr>
  </w:style>
  <w:style w:type="character" w:customStyle="1" w:styleId="Lahendamatamainimine4">
    <w:name w:val="Lahendamata mainimine4"/>
    <w:basedOn w:val="DefaultParagraphFont"/>
    <w:uiPriority w:val="99"/>
    <w:semiHidden/>
    <w:unhideWhenUsed/>
    <w:rsid w:val="006C4B58"/>
    <w:rPr>
      <w:color w:val="605E5C"/>
      <w:shd w:val="clear" w:color="auto" w:fill="E1DFDD"/>
    </w:rPr>
  </w:style>
  <w:style w:type="paragraph" w:customStyle="1" w:styleId="Joonise-tabelipealkiri">
    <w:name w:val="Joonise-tabeli pealkiri"/>
    <w:basedOn w:val="Normal"/>
    <w:uiPriority w:val="99"/>
    <w:rsid w:val="00397526"/>
    <w:pPr>
      <w:keepNext/>
      <w:spacing w:after="0"/>
      <w:ind w:left="113" w:right="113"/>
    </w:pPr>
    <w:rPr>
      <w:rFonts w:ascii="Garamond" w:eastAsia="Times New Roman" w:hAnsi="Garamond" w:cs="Times New Roman"/>
      <w:b/>
      <w:color w:val="000080"/>
      <w:szCs w:val="20"/>
    </w:rPr>
  </w:style>
  <w:style w:type="paragraph" w:customStyle="1" w:styleId="hik-allikas">
    <w:name w:val="Ühik-allikas"/>
    <w:basedOn w:val="Normal"/>
    <w:uiPriority w:val="99"/>
    <w:rsid w:val="00FD3F6B"/>
    <w:pPr>
      <w:ind w:left="113"/>
    </w:pPr>
    <w:rPr>
      <w:rFonts w:ascii="Garamond" w:eastAsia="Times New Roman" w:hAnsi="Garamond" w:cs="Times New Roman"/>
      <w:i/>
      <w:szCs w:val="20"/>
    </w:rPr>
  </w:style>
  <w:style w:type="paragraph" w:styleId="BodyText">
    <w:name w:val="Body Text"/>
    <w:basedOn w:val="Normal"/>
    <w:link w:val="BodyTextChar"/>
    <w:semiHidden/>
    <w:unhideWhenUsed/>
    <w:rsid w:val="00397526"/>
  </w:style>
  <w:style w:type="character" w:customStyle="1" w:styleId="BodyTextChar">
    <w:name w:val="Body Text Char"/>
    <w:basedOn w:val="DefaultParagraphFont"/>
    <w:link w:val="BodyText"/>
    <w:semiHidden/>
    <w:rsid w:val="00397526"/>
  </w:style>
  <w:style w:type="character" w:customStyle="1" w:styleId="Lahendamatamainimine5">
    <w:name w:val="Lahendamata mainimine5"/>
    <w:basedOn w:val="DefaultParagraphFont"/>
    <w:uiPriority w:val="99"/>
    <w:semiHidden/>
    <w:unhideWhenUsed/>
    <w:rsid w:val="008C01F1"/>
    <w:rPr>
      <w:color w:val="605E5C"/>
      <w:shd w:val="clear" w:color="auto" w:fill="E1DFDD"/>
    </w:rPr>
  </w:style>
  <w:style w:type="character" w:customStyle="1" w:styleId="Lahendamatamainimine6">
    <w:name w:val="Lahendamata mainimine6"/>
    <w:basedOn w:val="DefaultParagraphFont"/>
    <w:uiPriority w:val="99"/>
    <w:semiHidden/>
    <w:unhideWhenUsed/>
    <w:rsid w:val="00963513"/>
    <w:rPr>
      <w:color w:val="605E5C"/>
      <w:shd w:val="clear" w:color="auto" w:fill="E1DFDD"/>
    </w:rPr>
  </w:style>
  <w:style w:type="character" w:customStyle="1" w:styleId="Lahendamatamainimine7">
    <w:name w:val="Lahendamata mainimine7"/>
    <w:basedOn w:val="DefaultParagraphFont"/>
    <w:uiPriority w:val="99"/>
    <w:semiHidden/>
    <w:unhideWhenUsed/>
    <w:rsid w:val="002F3E04"/>
    <w:rPr>
      <w:color w:val="605E5C"/>
      <w:shd w:val="clear" w:color="auto" w:fill="E1DFDD"/>
    </w:rPr>
  </w:style>
  <w:style w:type="character" w:customStyle="1" w:styleId="Lahendamatamainimine8">
    <w:name w:val="Lahendamata mainimine8"/>
    <w:basedOn w:val="DefaultParagraphFont"/>
    <w:uiPriority w:val="99"/>
    <w:semiHidden/>
    <w:unhideWhenUsed/>
    <w:rsid w:val="00D36CE3"/>
    <w:rPr>
      <w:color w:val="605E5C"/>
      <w:shd w:val="clear" w:color="auto" w:fill="E1DFDD"/>
    </w:rPr>
  </w:style>
  <w:style w:type="paragraph" w:styleId="Index1">
    <w:name w:val="index 1"/>
    <w:basedOn w:val="Normal"/>
    <w:next w:val="Normal"/>
    <w:autoRedefine/>
    <w:uiPriority w:val="99"/>
    <w:semiHidden/>
    <w:unhideWhenUsed/>
    <w:rsid w:val="003C0EBC"/>
    <w:pPr>
      <w:spacing w:after="0"/>
      <w:ind w:left="220" w:hanging="220"/>
    </w:pPr>
  </w:style>
  <w:style w:type="character" w:styleId="UnresolvedMention">
    <w:name w:val="Unresolved Mention"/>
    <w:basedOn w:val="DefaultParagraphFont"/>
    <w:uiPriority w:val="99"/>
    <w:semiHidden/>
    <w:unhideWhenUsed/>
    <w:rsid w:val="001B5780"/>
    <w:rPr>
      <w:color w:val="605E5C"/>
      <w:shd w:val="clear" w:color="auto" w:fill="E1DFDD"/>
    </w:rPr>
  </w:style>
  <w:style w:type="paragraph" w:customStyle="1" w:styleId="Style2">
    <w:name w:val="Style2"/>
    <w:basedOn w:val="Heading3"/>
    <w:rsid w:val="00FD3F6B"/>
    <w:pPr>
      <w:spacing w:after="240"/>
    </w:pPr>
    <w:rPr>
      <w:rFonts w:ascii="Segoe UI Semilight" w:hAnsi="Segoe UI Semilight"/>
      <w:i/>
    </w:rPr>
  </w:style>
  <w:style w:type="paragraph" w:customStyle="1" w:styleId="MABodyGaramond">
    <w:name w:val="MA Body Garamond"/>
    <w:basedOn w:val="Normal"/>
    <w:link w:val="MABodyGaramondChar"/>
    <w:rsid w:val="00FD3F6B"/>
  </w:style>
  <w:style w:type="character" w:customStyle="1" w:styleId="MABodyGaramondChar">
    <w:name w:val="MA Body Garamond Char"/>
    <w:basedOn w:val="DefaultParagraphFont"/>
    <w:link w:val="MABodyGaramond"/>
    <w:rsid w:val="00FD3F6B"/>
    <w:rPr>
      <w:rFonts w:ascii="Roboto" w:hAnsi="Roboto"/>
      <w:sz w:val="24"/>
    </w:rPr>
  </w:style>
  <w:style w:type="paragraph" w:customStyle="1" w:styleId="BodyGeorgia">
    <w:name w:val="Body Georgia"/>
    <w:basedOn w:val="MABodyGaramond"/>
    <w:rsid w:val="00FD3F6B"/>
    <w:rPr>
      <w:rFonts w:ascii="Georgia" w:hAnsi="Georgia"/>
      <w:sz w:val="20"/>
    </w:rPr>
  </w:style>
  <w:style w:type="paragraph" w:customStyle="1" w:styleId="Pealkiri11">
    <w:name w:val="Pealkiri 11"/>
    <w:basedOn w:val="MABodyGaramond"/>
    <w:link w:val="Pealkiri11Mrk"/>
    <w:qFormat/>
    <w:rsid w:val="00FD3F6B"/>
    <w:pPr>
      <w:keepNext/>
      <w:keepLines/>
      <w:numPr>
        <w:numId w:val="2"/>
      </w:numPr>
      <w:suppressAutoHyphens/>
      <w:spacing w:before="800" w:after="40"/>
      <w:outlineLvl w:val="0"/>
    </w:pPr>
    <w:rPr>
      <w:rFonts w:ascii="Roboto Condensed" w:hAnsi="Roboto Condensed"/>
      <w:b/>
      <w:color w:val="006EB5"/>
      <w:sz w:val="32"/>
    </w:rPr>
  </w:style>
  <w:style w:type="character" w:customStyle="1" w:styleId="Pealkiri11Mrk">
    <w:name w:val="Pealkiri 11 Märk"/>
    <w:basedOn w:val="MABodyGaramondChar"/>
    <w:link w:val="Pealkiri11"/>
    <w:rsid w:val="00FD3F6B"/>
    <w:rPr>
      <w:rFonts w:ascii="Roboto Condensed" w:hAnsi="Roboto Condensed"/>
      <w:b/>
      <w:color w:val="006EB5"/>
      <w:sz w:val="32"/>
    </w:rPr>
  </w:style>
  <w:style w:type="paragraph" w:styleId="NoSpacing">
    <w:name w:val="No Spacing"/>
    <w:uiPriority w:val="1"/>
    <w:rsid w:val="00FD3F6B"/>
    <w:pPr>
      <w:spacing w:after="0" w:line="240" w:lineRule="auto"/>
    </w:pPr>
    <w:rPr>
      <w:rFonts w:ascii="Georgia" w:hAnsi="Georgia"/>
      <w:sz w:val="20"/>
    </w:rPr>
  </w:style>
  <w:style w:type="character" w:customStyle="1" w:styleId="ui-provider">
    <w:name w:val="ui-provider"/>
    <w:basedOn w:val="DefaultParagraphFont"/>
    <w:rsid w:val="00835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3564">
      <w:bodyDiv w:val="1"/>
      <w:marLeft w:val="0"/>
      <w:marRight w:val="0"/>
      <w:marTop w:val="0"/>
      <w:marBottom w:val="0"/>
      <w:divBdr>
        <w:top w:val="none" w:sz="0" w:space="0" w:color="auto"/>
        <w:left w:val="none" w:sz="0" w:space="0" w:color="auto"/>
        <w:bottom w:val="none" w:sz="0" w:space="0" w:color="auto"/>
        <w:right w:val="none" w:sz="0" w:space="0" w:color="auto"/>
      </w:divBdr>
    </w:div>
    <w:div w:id="16195828">
      <w:bodyDiv w:val="1"/>
      <w:marLeft w:val="0"/>
      <w:marRight w:val="0"/>
      <w:marTop w:val="0"/>
      <w:marBottom w:val="0"/>
      <w:divBdr>
        <w:top w:val="none" w:sz="0" w:space="0" w:color="auto"/>
        <w:left w:val="none" w:sz="0" w:space="0" w:color="auto"/>
        <w:bottom w:val="none" w:sz="0" w:space="0" w:color="auto"/>
        <w:right w:val="none" w:sz="0" w:space="0" w:color="auto"/>
      </w:divBdr>
    </w:div>
    <w:div w:id="16197203">
      <w:bodyDiv w:val="1"/>
      <w:marLeft w:val="0"/>
      <w:marRight w:val="0"/>
      <w:marTop w:val="0"/>
      <w:marBottom w:val="0"/>
      <w:divBdr>
        <w:top w:val="none" w:sz="0" w:space="0" w:color="auto"/>
        <w:left w:val="none" w:sz="0" w:space="0" w:color="auto"/>
        <w:bottom w:val="none" w:sz="0" w:space="0" w:color="auto"/>
        <w:right w:val="none" w:sz="0" w:space="0" w:color="auto"/>
      </w:divBdr>
    </w:div>
    <w:div w:id="16473464">
      <w:bodyDiv w:val="1"/>
      <w:marLeft w:val="0"/>
      <w:marRight w:val="0"/>
      <w:marTop w:val="0"/>
      <w:marBottom w:val="0"/>
      <w:divBdr>
        <w:top w:val="none" w:sz="0" w:space="0" w:color="auto"/>
        <w:left w:val="none" w:sz="0" w:space="0" w:color="auto"/>
        <w:bottom w:val="none" w:sz="0" w:space="0" w:color="auto"/>
        <w:right w:val="none" w:sz="0" w:space="0" w:color="auto"/>
      </w:divBdr>
    </w:div>
    <w:div w:id="17826660">
      <w:bodyDiv w:val="1"/>
      <w:marLeft w:val="0"/>
      <w:marRight w:val="0"/>
      <w:marTop w:val="0"/>
      <w:marBottom w:val="0"/>
      <w:divBdr>
        <w:top w:val="none" w:sz="0" w:space="0" w:color="auto"/>
        <w:left w:val="none" w:sz="0" w:space="0" w:color="auto"/>
        <w:bottom w:val="none" w:sz="0" w:space="0" w:color="auto"/>
        <w:right w:val="none" w:sz="0" w:space="0" w:color="auto"/>
      </w:divBdr>
    </w:div>
    <w:div w:id="21395710">
      <w:bodyDiv w:val="1"/>
      <w:marLeft w:val="0"/>
      <w:marRight w:val="0"/>
      <w:marTop w:val="0"/>
      <w:marBottom w:val="0"/>
      <w:divBdr>
        <w:top w:val="none" w:sz="0" w:space="0" w:color="auto"/>
        <w:left w:val="none" w:sz="0" w:space="0" w:color="auto"/>
        <w:bottom w:val="none" w:sz="0" w:space="0" w:color="auto"/>
        <w:right w:val="none" w:sz="0" w:space="0" w:color="auto"/>
      </w:divBdr>
    </w:div>
    <w:div w:id="23795289">
      <w:bodyDiv w:val="1"/>
      <w:marLeft w:val="0"/>
      <w:marRight w:val="0"/>
      <w:marTop w:val="0"/>
      <w:marBottom w:val="0"/>
      <w:divBdr>
        <w:top w:val="none" w:sz="0" w:space="0" w:color="auto"/>
        <w:left w:val="none" w:sz="0" w:space="0" w:color="auto"/>
        <w:bottom w:val="none" w:sz="0" w:space="0" w:color="auto"/>
        <w:right w:val="none" w:sz="0" w:space="0" w:color="auto"/>
      </w:divBdr>
    </w:div>
    <w:div w:id="23869062">
      <w:bodyDiv w:val="1"/>
      <w:marLeft w:val="0"/>
      <w:marRight w:val="0"/>
      <w:marTop w:val="0"/>
      <w:marBottom w:val="0"/>
      <w:divBdr>
        <w:top w:val="none" w:sz="0" w:space="0" w:color="auto"/>
        <w:left w:val="none" w:sz="0" w:space="0" w:color="auto"/>
        <w:bottom w:val="none" w:sz="0" w:space="0" w:color="auto"/>
        <w:right w:val="none" w:sz="0" w:space="0" w:color="auto"/>
      </w:divBdr>
    </w:div>
    <w:div w:id="30112384">
      <w:bodyDiv w:val="1"/>
      <w:marLeft w:val="0"/>
      <w:marRight w:val="0"/>
      <w:marTop w:val="0"/>
      <w:marBottom w:val="0"/>
      <w:divBdr>
        <w:top w:val="none" w:sz="0" w:space="0" w:color="auto"/>
        <w:left w:val="none" w:sz="0" w:space="0" w:color="auto"/>
        <w:bottom w:val="none" w:sz="0" w:space="0" w:color="auto"/>
        <w:right w:val="none" w:sz="0" w:space="0" w:color="auto"/>
      </w:divBdr>
    </w:div>
    <w:div w:id="38676117">
      <w:bodyDiv w:val="1"/>
      <w:marLeft w:val="0"/>
      <w:marRight w:val="0"/>
      <w:marTop w:val="0"/>
      <w:marBottom w:val="0"/>
      <w:divBdr>
        <w:top w:val="none" w:sz="0" w:space="0" w:color="auto"/>
        <w:left w:val="none" w:sz="0" w:space="0" w:color="auto"/>
        <w:bottom w:val="none" w:sz="0" w:space="0" w:color="auto"/>
        <w:right w:val="none" w:sz="0" w:space="0" w:color="auto"/>
      </w:divBdr>
    </w:div>
    <w:div w:id="42755544">
      <w:bodyDiv w:val="1"/>
      <w:marLeft w:val="0"/>
      <w:marRight w:val="0"/>
      <w:marTop w:val="0"/>
      <w:marBottom w:val="0"/>
      <w:divBdr>
        <w:top w:val="none" w:sz="0" w:space="0" w:color="auto"/>
        <w:left w:val="none" w:sz="0" w:space="0" w:color="auto"/>
        <w:bottom w:val="none" w:sz="0" w:space="0" w:color="auto"/>
        <w:right w:val="none" w:sz="0" w:space="0" w:color="auto"/>
      </w:divBdr>
    </w:div>
    <w:div w:id="43650339">
      <w:bodyDiv w:val="1"/>
      <w:marLeft w:val="0"/>
      <w:marRight w:val="0"/>
      <w:marTop w:val="0"/>
      <w:marBottom w:val="0"/>
      <w:divBdr>
        <w:top w:val="none" w:sz="0" w:space="0" w:color="auto"/>
        <w:left w:val="none" w:sz="0" w:space="0" w:color="auto"/>
        <w:bottom w:val="none" w:sz="0" w:space="0" w:color="auto"/>
        <w:right w:val="none" w:sz="0" w:space="0" w:color="auto"/>
      </w:divBdr>
    </w:div>
    <w:div w:id="48261350">
      <w:bodyDiv w:val="1"/>
      <w:marLeft w:val="0"/>
      <w:marRight w:val="0"/>
      <w:marTop w:val="0"/>
      <w:marBottom w:val="0"/>
      <w:divBdr>
        <w:top w:val="none" w:sz="0" w:space="0" w:color="auto"/>
        <w:left w:val="none" w:sz="0" w:space="0" w:color="auto"/>
        <w:bottom w:val="none" w:sz="0" w:space="0" w:color="auto"/>
        <w:right w:val="none" w:sz="0" w:space="0" w:color="auto"/>
      </w:divBdr>
    </w:div>
    <w:div w:id="49233338">
      <w:bodyDiv w:val="1"/>
      <w:marLeft w:val="0"/>
      <w:marRight w:val="0"/>
      <w:marTop w:val="0"/>
      <w:marBottom w:val="0"/>
      <w:divBdr>
        <w:top w:val="none" w:sz="0" w:space="0" w:color="auto"/>
        <w:left w:val="none" w:sz="0" w:space="0" w:color="auto"/>
        <w:bottom w:val="none" w:sz="0" w:space="0" w:color="auto"/>
        <w:right w:val="none" w:sz="0" w:space="0" w:color="auto"/>
      </w:divBdr>
    </w:div>
    <w:div w:id="49234391">
      <w:bodyDiv w:val="1"/>
      <w:marLeft w:val="0"/>
      <w:marRight w:val="0"/>
      <w:marTop w:val="0"/>
      <w:marBottom w:val="0"/>
      <w:divBdr>
        <w:top w:val="none" w:sz="0" w:space="0" w:color="auto"/>
        <w:left w:val="none" w:sz="0" w:space="0" w:color="auto"/>
        <w:bottom w:val="none" w:sz="0" w:space="0" w:color="auto"/>
        <w:right w:val="none" w:sz="0" w:space="0" w:color="auto"/>
      </w:divBdr>
    </w:div>
    <w:div w:id="59256549">
      <w:bodyDiv w:val="1"/>
      <w:marLeft w:val="0"/>
      <w:marRight w:val="0"/>
      <w:marTop w:val="0"/>
      <w:marBottom w:val="0"/>
      <w:divBdr>
        <w:top w:val="none" w:sz="0" w:space="0" w:color="auto"/>
        <w:left w:val="none" w:sz="0" w:space="0" w:color="auto"/>
        <w:bottom w:val="none" w:sz="0" w:space="0" w:color="auto"/>
        <w:right w:val="none" w:sz="0" w:space="0" w:color="auto"/>
      </w:divBdr>
    </w:div>
    <w:div w:id="59405464">
      <w:bodyDiv w:val="1"/>
      <w:marLeft w:val="0"/>
      <w:marRight w:val="0"/>
      <w:marTop w:val="0"/>
      <w:marBottom w:val="0"/>
      <w:divBdr>
        <w:top w:val="none" w:sz="0" w:space="0" w:color="auto"/>
        <w:left w:val="none" w:sz="0" w:space="0" w:color="auto"/>
        <w:bottom w:val="none" w:sz="0" w:space="0" w:color="auto"/>
        <w:right w:val="none" w:sz="0" w:space="0" w:color="auto"/>
      </w:divBdr>
    </w:div>
    <w:div w:id="59595756">
      <w:bodyDiv w:val="1"/>
      <w:marLeft w:val="0"/>
      <w:marRight w:val="0"/>
      <w:marTop w:val="0"/>
      <w:marBottom w:val="0"/>
      <w:divBdr>
        <w:top w:val="none" w:sz="0" w:space="0" w:color="auto"/>
        <w:left w:val="none" w:sz="0" w:space="0" w:color="auto"/>
        <w:bottom w:val="none" w:sz="0" w:space="0" w:color="auto"/>
        <w:right w:val="none" w:sz="0" w:space="0" w:color="auto"/>
      </w:divBdr>
    </w:div>
    <w:div w:id="61758567">
      <w:bodyDiv w:val="1"/>
      <w:marLeft w:val="0"/>
      <w:marRight w:val="0"/>
      <w:marTop w:val="0"/>
      <w:marBottom w:val="0"/>
      <w:divBdr>
        <w:top w:val="none" w:sz="0" w:space="0" w:color="auto"/>
        <w:left w:val="none" w:sz="0" w:space="0" w:color="auto"/>
        <w:bottom w:val="none" w:sz="0" w:space="0" w:color="auto"/>
        <w:right w:val="none" w:sz="0" w:space="0" w:color="auto"/>
      </w:divBdr>
    </w:div>
    <w:div w:id="65346039">
      <w:bodyDiv w:val="1"/>
      <w:marLeft w:val="0"/>
      <w:marRight w:val="0"/>
      <w:marTop w:val="0"/>
      <w:marBottom w:val="0"/>
      <w:divBdr>
        <w:top w:val="none" w:sz="0" w:space="0" w:color="auto"/>
        <w:left w:val="none" w:sz="0" w:space="0" w:color="auto"/>
        <w:bottom w:val="none" w:sz="0" w:space="0" w:color="auto"/>
        <w:right w:val="none" w:sz="0" w:space="0" w:color="auto"/>
      </w:divBdr>
    </w:div>
    <w:div w:id="68503552">
      <w:bodyDiv w:val="1"/>
      <w:marLeft w:val="0"/>
      <w:marRight w:val="0"/>
      <w:marTop w:val="0"/>
      <w:marBottom w:val="0"/>
      <w:divBdr>
        <w:top w:val="none" w:sz="0" w:space="0" w:color="auto"/>
        <w:left w:val="none" w:sz="0" w:space="0" w:color="auto"/>
        <w:bottom w:val="none" w:sz="0" w:space="0" w:color="auto"/>
        <w:right w:val="none" w:sz="0" w:space="0" w:color="auto"/>
      </w:divBdr>
    </w:div>
    <w:div w:id="74591024">
      <w:bodyDiv w:val="1"/>
      <w:marLeft w:val="0"/>
      <w:marRight w:val="0"/>
      <w:marTop w:val="0"/>
      <w:marBottom w:val="0"/>
      <w:divBdr>
        <w:top w:val="none" w:sz="0" w:space="0" w:color="auto"/>
        <w:left w:val="none" w:sz="0" w:space="0" w:color="auto"/>
        <w:bottom w:val="none" w:sz="0" w:space="0" w:color="auto"/>
        <w:right w:val="none" w:sz="0" w:space="0" w:color="auto"/>
      </w:divBdr>
    </w:div>
    <w:div w:id="79719391">
      <w:bodyDiv w:val="1"/>
      <w:marLeft w:val="0"/>
      <w:marRight w:val="0"/>
      <w:marTop w:val="0"/>
      <w:marBottom w:val="0"/>
      <w:divBdr>
        <w:top w:val="none" w:sz="0" w:space="0" w:color="auto"/>
        <w:left w:val="none" w:sz="0" w:space="0" w:color="auto"/>
        <w:bottom w:val="none" w:sz="0" w:space="0" w:color="auto"/>
        <w:right w:val="none" w:sz="0" w:space="0" w:color="auto"/>
      </w:divBdr>
    </w:div>
    <w:div w:id="81875353">
      <w:bodyDiv w:val="1"/>
      <w:marLeft w:val="0"/>
      <w:marRight w:val="0"/>
      <w:marTop w:val="0"/>
      <w:marBottom w:val="0"/>
      <w:divBdr>
        <w:top w:val="none" w:sz="0" w:space="0" w:color="auto"/>
        <w:left w:val="none" w:sz="0" w:space="0" w:color="auto"/>
        <w:bottom w:val="none" w:sz="0" w:space="0" w:color="auto"/>
        <w:right w:val="none" w:sz="0" w:space="0" w:color="auto"/>
      </w:divBdr>
    </w:div>
    <w:div w:id="82263337">
      <w:bodyDiv w:val="1"/>
      <w:marLeft w:val="0"/>
      <w:marRight w:val="0"/>
      <w:marTop w:val="0"/>
      <w:marBottom w:val="0"/>
      <w:divBdr>
        <w:top w:val="none" w:sz="0" w:space="0" w:color="auto"/>
        <w:left w:val="none" w:sz="0" w:space="0" w:color="auto"/>
        <w:bottom w:val="none" w:sz="0" w:space="0" w:color="auto"/>
        <w:right w:val="none" w:sz="0" w:space="0" w:color="auto"/>
      </w:divBdr>
    </w:div>
    <w:div w:id="82803908">
      <w:bodyDiv w:val="1"/>
      <w:marLeft w:val="0"/>
      <w:marRight w:val="0"/>
      <w:marTop w:val="0"/>
      <w:marBottom w:val="0"/>
      <w:divBdr>
        <w:top w:val="none" w:sz="0" w:space="0" w:color="auto"/>
        <w:left w:val="none" w:sz="0" w:space="0" w:color="auto"/>
        <w:bottom w:val="none" w:sz="0" w:space="0" w:color="auto"/>
        <w:right w:val="none" w:sz="0" w:space="0" w:color="auto"/>
      </w:divBdr>
    </w:div>
    <w:div w:id="90929770">
      <w:bodyDiv w:val="1"/>
      <w:marLeft w:val="0"/>
      <w:marRight w:val="0"/>
      <w:marTop w:val="0"/>
      <w:marBottom w:val="0"/>
      <w:divBdr>
        <w:top w:val="none" w:sz="0" w:space="0" w:color="auto"/>
        <w:left w:val="none" w:sz="0" w:space="0" w:color="auto"/>
        <w:bottom w:val="none" w:sz="0" w:space="0" w:color="auto"/>
        <w:right w:val="none" w:sz="0" w:space="0" w:color="auto"/>
      </w:divBdr>
    </w:div>
    <w:div w:id="96412581">
      <w:bodyDiv w:val="1"/>
      <w:marLeft w:val="0"/>
      <w:marRight w:val="0"/>
      <w:marTop w:val="0"/>
      <w:marBottom w:val="0"/>
      <w:divBdr>
        <w:top w:val="none" w:sz="0" w:space="0" w:color="auto"/>
        <w:left w:val="none" w:sz="0" w:space="0" w:color="auto"/>
        <w:bottom w:val="none" w:sz="0" w:space="0" w:color="auto"/>
        <w:right w:val="none" w:sz="0" w:space="0" w:color="auto"/>
      </w:divBdr>
    </w:div>
    <w:div w:id="97407457">
      <w:bodyDiv w:val="1"/>
      <w:marLeft w:val="0"/>
      <w:marRight w:val="0"/>
      <w:marTop w:val="0"/>
      <w:marBottom w:val="0"/>
      <w:divBdr>
        <w:top w:val="none" w:sz="0" w:space="0" w:color="auto"/>
        <w:left w:val="none" w:sz="0" w:space="0" w:color="auto"/>
        <w:bottom w:val="none" w:sz="0" w:space="0" w:color="auto"/>
        <w:right w:val="none" w:sz="0" w:space="0" w:color="auto"/>
      </w:divBdr>
    </w:div>
    <w:div w:id="105199920">
      <w:bodyDiv w:val="1"/>
      <w:marLeft w:val="0"/>
      <w:marRight w:val="0"/>
      <w:marTop w:val="0"/>
      <w:marBottom w:val="0"/>
      <w:divBdr>
        <w:top w:val="none" w:sz="0" w:space="0" w:color="auto"/>
        <w:left w:val="none" w:sz="0" w:space="0" w:color="auto"/>
        <w:bottom w:val="none" w:sz="0" w:space="0" w:color="auto"/>
        <w:right w:val="none" w:sz="0" w:space="0" w:color="auto"/>
      </w:divBdr>
    </w:div>
    <w:div w:id="105586289">
      <w:bodyDiv w:val="1"/>
      <w:marLeft w:val="0"/>
      <w:marRight w:val="0"/>
      <w:marTop w:val="0"/>
      <w:marBottom w:val="0"/>
      <w:divBdr>
        <w:top w:val="none" w:sz="0" w:space="0" w:color="auto"/>
        <w:left w:val="none" w:sz="0" w:space="0" w:color="auto"/>
        <w:bottom w:val="none" w:sz="0" w:space="0" w:color="auto"/>
        <w:right w:val="none" w:sz="0" w:space="0" w:color="auto"/>
      </w:divBdr>
    </w:div>
    <w:div w:id="107552410">
      <w:bodyDiv w:val="1"/>
      <w:marLeft w:val="0"/>
      <w:marRight w:val="0"/>
      <w:marTop w:val="0"/>
      <w:marBottom w:val="0"/>
      <w:divBdr>
        <w:top w:val="none" w:sz="0" w:space="0" w:color="auto"/>
        <w:left w:val="none" w:sz="0" w:space="0" w:color="auto"/>
        <w:bottom w:val="none" w:sz="0" w:space="0" w:color="auto"/>
        <w:right w:val="none" w:sz="0" w:space="0" w:color="auto"/>
      </w:divBdr>
    </w:div>
    <w:div w:id="110327444">
      <w:bodyDiv w:val="1"/>
      <w:marLeft w:val="0"/>
      <w:marRight w:val="0"/>
      <w:marTop w:val="0"/>
      <w:marBottom w:val="0"/>
      <w:divBdr>
        <w:top w:val="none" w:sz="0" w:space="0" w:color="auto"/>
        <w:left w:val="none" w:sz="0" w:space="0" w:color="auto"/>
        <w:bottom w:val="none" w:sz="0" w:space="0" w:color="auto"/>
        <w:right w:val="none" w:sz="0" w:space="0" w:color="auto"/>
      </w:divBdr>
    </w:div>
    <w:div w:id="112359796">
      <w:bodyDiv w:val="1"/>
      <w:marLeft w:val="0"/>
      <w:marRight w:val="0"/>
      <w:marTop w:val="0"/>
      <w:marBottom w:val="0"/>
      <w:divBdr>
        <w:top w:val="none" w:sz="0" w:space="0" w:color="auto"/>
        <w:left w:val="none" w:sz="0" w:space="0" w:color="auto"/>
        <w:bottom w:val="none" w:sz="0" w:space="0" w:color="auto"/>
        <w:right w:val="none" w:sz="0" w:space="0" w:color="auto"/>
      </w:divBdr>
    </w:div>
    <w:div w:id="120802607">
      <w:bodyDiv w:val="1"/>
      <w:marLeft w:val="0"/>
      <w:marRight w:val="0"/>
      <w:marTop w:val="0"/>
      <w:marBottom w:val="0"/>
      <w:divBdr>
        <w:top w:val="none" w:sz="0" w:space="0" w:color="auto"/>
        <w:left w:val="none" w:sz="0" w:space="0" w:color="auto"/>
        <w:bottom w:val="none" w:sz="0" w:space="0" w:color="auto"/>
        <w:right w:val="none" w:sz="0" w:space="0" w:color="auto"/>
      </w:divBdr>
    </w:div>
    <w:div w:id="123695536">
      <w:bodyDiv w:val="1"/>
      <w:marLeft w:val="0"/>
      <w:marRight w:val="0"/>
      <w:marTop w:val="0"/>
      <w:marBottom w:val="0"/>
      <w:divBdr>
        <w:top w:val="none" w:sz="0" w:space="0" w:color="auto"/>
        <w:left w:val="none" w:sz="0" w:space="0" w:color="auto"/>
        <w:bottom w:val="none" w:sz="0" w:space="0" w:color="auto"/>
        <w:right w:val="none" w:sz="0" w:space="0" w:color="auto"/>
      </w:divBdr>
    </w:div>
    <w:div w:id="124783345">
      <w:bodyDiv w:val="1"/>
      <w:marLeft w:val="0"/>
      <w:marRight w:val="0"/>
      <w:marTop w:val="0"/>
      <w:marBottom w:val="0"/>
      <w:divBdr>
        <w:top w:val="none" w:sz="0" w:space="0" w:color="auto"/>
        <w:left w:val="none" w:sz="0" w:space="0" w:color="auto"/>
        <w:bottom w:val="none" w:sz="0" w:space="0" w:color="auto"/>
        <w:right w:val="none" w:sz="0" w:space="0" w:color="auto"/>
      </w:divBdr>
    </w:div>
    <w:div w:id="125590920">
      <w:bodyDiv w:val="1"/>
      <w:marLeft w:val="0"/>
      <w:marRight w:val="0"/>
      <w:marTop w:val="0"/>
      <w:marBottom w:val="0"/>
      <w:divBdr>
        <w:top w:val="none" w:sz="0" w:space="0" w:color="auto"/>
        <w:left w:val="none" w:sz="0" w:space="0" w:color="auto"/>
        <w:bottom w:val="none" w:sz="0" w:space="0" w:color="auto"/>
        <w:right w:val="none" w:sz="0" w:space="0" w:color="auto"/>
      </w:divBdr>
    </w:div>
    <w:div w:id="125782882">
      <w:bodyDiv w:val="1"/>
      <w:marLeft w:val="0"/>
      <w:marRight w:val="0"/>
      <w:marTop w:val="0"/>
      <w:marBottom w:val="0"/>
      <w:divBdr>
        <w:top w:val="none" w:sz="0" w:space="0" w:color="auto"/>
        <w:left w:val="none" w:sz="0" w:space="0" w:color="auto"/>
        <w:bottom w:val="none" w:sz="0" w:space="0" w:color="auto"/>
        <w:right w:val="none" w:sz="0" w:space="0" w:color="auto"/>
      </w:divBdr>
    </w:div>
    <w:div w:id="130710900">
      <w:bodyDiv w:val="1"/>
      <w:marLeft w:val="0"/>
      <w:marRight w:val="0"/>
      <w:marTop w:val="0"/>
      <w:marBottom w:val="0"/>
      <w:divBdr>
        <w:top w:val="none" w:sz="0" w:space="0" w:color="auto"/>
        <w:left w:val="none" w:sz="0" w:space="0" w:color="auto"/>
        <w:bottom w:val="none" w:sz="0" w:space="0" w:color="auto"/>
        <w:right w:val="none" w:sz="0" w:space="0" w:color="auto"/>
      </w:divBdr>
    </w:div>
    <w:div w:id="132992117">
      <w:bodyDiv w:val="1"/>
      <w:marLeft w:val="0"/>
      <w:marRight w:val="0"/>
      <w:marTop w:val="0"/>
      <w:marBottom w:val="0"/>
      <w:divBdr>
        <w:top w:val="none" w:sz="0" w:space="0" w:color="auto"/>
        <w:left w:val="none" w:sz="0" w:space="0" w:color="auto"/>
        <w:bottom w:val="none" w:sz="0" w:space="0" w:color="auto"/>
        <w:right w:val="none" w:sz="0" w:space="0" w:color="auto"/>
      </w:divBdr>
    </w:div>
    <w:div w:id="136655815">
      <w:bodyDiv w:val="1"/>
      <w:marLeft w:val="0"/>
      <w:marRight w:val="0"/>
      <w:marTop w:val="0"/>
      <w:marBottom w:val="0"/>
      <w:divBdr>
        <w:top w:val="none" w:sz="0" w:space="0" w:color="auto"/>
        <w:left w:val="none" w:sz="0" w:space="0" w:color="auto"/>
        <w:bottom w:val="none" w:sz="0" w:space="0" w:color="auto"/>
        <w:right w:val="none" w:sz="0" w:space="0" w:color="auto"/>
      </w:divBdr>
    </w:div>
    <w:div w:id="143856630">
      <w:bodyDiv w:val="1"/>
      <w:marLeft w:val="0"/>
      <w:marRight w:val="0"/>
      <w:marTop w:val="0"/>
      <w:marBottom w:val="0"/>
      <w:divBdr>
        <w:top w:val="none" w:sz="0" w:space="0" w:color="auto"/>
        <w:left w:val="none" w:sz="0" w:space="0" w:color="auto"/>
        <w:bottom w:val="none" w:sz="0" w:space="0" w:color="auto"/>
        <w:right w:val="none" w:sz="0" w:space="0" w:color="auto"/>
      </w:divBdr>
    </w:div>
    <w:div w:id="144050062">
      <w:bodyDiv w:val="1"/>
      <w:marLeft w:val="0"/>
      <w:marRight w:val="0"/>
      <w:marTop w:val="0"/>
      <w:marBottom w:val="0"/>
      <w:divBdr>
        <w:top w:val="none" w:sz="0" w:space="0" w:color="auto"/>
        <w:left w:val="none" w:sz="0" w:space="0" w:color="auto"/>
        <w:bottom w:val="none" w:sz="0" w:space="0" w:color="auto"/>
        <w:right w:val="none" w:sz="0" w:space="0" w:color="auto"/>
      </w:divBdr>
    </w:div>
    <w:div w:id="145826346">
      <w:bodyDiv w:val="1"/>
      <w:marLeft w:val="0"/>
      <w:marRight w:val="0"/>
      <w:marTop w:val="0"/>
      <w:marBottom w:val="0"/>
      <w:divBdr>
        <w:top w:val="none" w:sz="0" w:space="0" w:color="auto"/>
        <w:left w:val="none" w:sz="0" w:space="0" w:color="auto"/>
        <w:bottom w:val="none" w:sz="0" w:space="0" w:color="auto"/>
        <w:right w:val="none" w:sz="0" w:space="0" w:color="auto"/>
      </w:divBdr>
    </w:div>
    <w:div w:id="148594294">
      <w:bodyDiv w:val="1"/>
      <w:marLeft w:val="0"/>
      <w:marRight w:val="0"/>
      <w:marTop w:val="0"/>
      <w:marBottom w:val="0"/>
      <w:divBdr>
        <w:top w:val="none" w:sz="0" w:space="0" w:color="auto"/>
        <w:left w:val="none" w:sz="0" w:space="0" w:color="auto"/>
        <w:bottom w:val="none" w:sz="0" w:space="0" w:color="auto"/>
        <w:right w:val="none" w:sz="0" w:space="0" w:color="auto"/>
      </w:divBdr>
    </w:div>
    <w:div w:id="151456771">
      <w:bodyDiv w:val="1"/>
      <w:marLeft w:val="0"/>
      <w:marRight w:val="0"/>
      <w:marTop w:val="0"/>
      <w:marBottom w:val="0"/>
      <w:divBdr>
        <w:top w:val="none" w:sz="0" w:space="0" w:color="auto"/>
        <w:left w:val="none" w:sz="0" w:space="0" w:color="auto"/>
        <w:bottom w:val="none" w:sz="0" w:space="0" w:color="auto"/>
        <w:right w:val="none" w:sz="0" w:space="0" w:color="auto"/>
      </w:divBdr>
    </w:div>
    <w:div w:id="152068742">
      <w:bodyDiv w:val="1"/>
      <w:marLeft w:val="0"/>
      <w:marRight w:val="0"/>
      <w:marTop w:val="0"/>
      <w:marBottom w:val="0"/>
      <w:divBdr>
        <w:top w:val="none" w:sz="0" w:space="0" w:color="auto"/>
        <w:left w:val="none" w:sz="0" w:space="0" w:color="auto"/>
        <w:bottom w:val="none" w:sz="0" w:space="0" w:color="auto"/>
        <w:right w:val="none" w:sz="0" w:space="0" w:color="auto"/>
      </w:divBdr>
    </w:div>
    <w:div w:id="174346272">
      <w:bodyDiv w:val="1"/>
      <w:marLeft w:val="0"/>
      <w:marRight w:val="0"/>
      <w:marTop w:val="0"/>
      <w:marBottom w:val="0"/>
      <w:divBdr>
        <w:top w:val="none" w:sz="0" w:space="0" w:color="auto"/>
        <w:left w:val="none" w:sz="0" w:space="0" w:color="auto"/>
        <w:bottom w:val="none" w:sz="0" w:space="0" w:color="auto"/>
        <w:right w:val="none" w:sz="0" w:space="0" w:color="auto"/>
      </w:divBdr>
    </w:div>
    <w:div w:id="185141403">
      <w:bodyDiv w:val="1"/>
      <w:marLeft w:val="0"/>
      <w:marRight w:val="0"/>
      <w:marTop w:val="0"/>
      <w:marBottom w:val="0"/>
      <w:divBdr>
        <w:top w:val="none" w:sz="0" w:space="0" w:color="auto"/>
        <w:left w:val="none" w:sz="0" w:space="0" w:color="auto"/>
        <w:bottom w:val="none" w:sz="0" w:space="0" w:color="auto"/>
        <w:right w:val="none" w:sz="0" w:space="0" w:color="auto"/>
      </w:divBdr>
    </w:div>
    <w:div w:id="187988856">
      <w:bodyDiv w:val="1"/>
      <w:marLeft w:val="0"/>
      <w:marRight w:val="0"/>
      <w:marTop w:val="0"/>
      <w:marBottom w:val="0"/>
      <w:divBdr>
        <w:top w:val="none" w:sz="0" w:space="0" w:color="auto"/>
        <w:left w:val="none" w:sz="0" w:space="0" w:color="auto"/>
        <w:bottom w:val="none" w:sz="0" w:space="0" w:color="auto"/>
        <w:right w:val="none" w:sz="0" w:space="0" w:color="auto"/>
      </w:divBdr>
    </w:div>
    <w:div w:id="188103660">
      <w:bodyDiv w:val="1"/>
      <w:marLeft w:val="0"/>
      <w:marRight w:val="0"/>
      <w:marTop w:val="0"/>
      <w:marBottom w:val="0"/>
      <w:divBdr>
        <w:top w:val="none" w:sz="0" w:space="0" w:color="auto"/>
        <w:left w:val="none" w:sz="0" w:space="0" w:color="auto"/>
        <w:bottom w:val="none" w:sz="0" w:space="0" w:color="auto"/>
        <w:right w:val="none" w:sz="0" w:space="0" w:color="auto"/>
      </w:divBdr>
    </w:div>
    <w:div w:id="192961027">
      <w:bodyDiv w:val="1"/>
      <w:marLeft w:val="0"/>
      <w:marRight w:val="0"/>
      <w:marTop w:val="0"/>
      <w:marBottom w:val="0"/>
      <w:divBdr>
        <w:top w:val="none" w:sz="0" w:space="0" w:color="auto"/>
        <w:left w:val="none" w:sz="0" w:space="0" w:color="auto"/>
        <w:bottom w:val="none" w:sz="0" w:space="0" w:color="auto"/>
        <w:right w:val="none" w:sz="0" w:space="0" w:color="auto"/>
      </w:divBdr>
    </w:div>
    <w:div w:id="194584819">
      <w:bodyDiv w:val="1"/>
      <w:marLeft w:val="0"/>
      <w:marRight w:val="0"/>
      <w:marTop w:val="0"/>
      <w:marBottom w:val="0"/>
      <w:divBdr>
        <w:top w:val="none" w:sz="0" w:space="0" w:color="auto"/>
        <w:left w:val="none" w:sz="0" w:space="0" w:color="auto"/>
        <w:bottom w:val="none" w:sz="0" w:space="0" w:color="auto"/>
        <w:right w:val="none" w:sz="0" w:space="0" w:color="auto"/>
      </w:divBdr>
    </w:div>
    <w:div w:id="197548416">
      <w:bodyDiv w:val="1"/>
      <w:marLeft w:val="0"/>
      <w:marRight w:val="0"/>
      <w:marTop w:val="0"/>
      <w:marBottom w:val="0"/>
      <w:divBdr>
        <w:top w:val="none" w:sz="0" w:space="0" w:color="auto"/>
        <w:left w:val="none" w:sz="0" w:space="0" w:color="auto"/>
        <w:bottom w:val="none" w:sz="0" w:space="0" w:color="auto"/>
        <w:right w:val="none" w:sz="0" w:space="0" w:color="auto"/>
      </w:divBdr>
    </w:div>
    <w:div w:id="198207176">
      <w:bodyDiv w:val="1"/>
      <w:marLeft w:val="0"/>
      <w:marRight w:val="0"/>
      <w:marTop w:val="0"/>
      <w:marBottom w:val="0"/>
      <w:divBdr>
        <w:top w:val="none" w:sz="0" w:space="0" w:color="auto"/>
        <w:left w:val="none" w:sz="0" w:space="0" w:color="auto"/>
        <w:bottom w:val="none" w:sz="0" w:space="0" w:color="auto"/>
        <w:right w:val="none" w:sz="0" w:space="0" w:color="auto"/>
      </w:divBdr>
    </w:div>
    <w:div w:id="200092860">
      <w:bodyDiv w:val="1"/>
      <w:marLeft w:val="0"/>
      <w:marRight w:val="0"/>
      <w:marTop w:val="0"/>
      <w:marBottom w:val="0"/>
      <w:divBdr>
        <w:top w:val="none" w:sz="0" w:space="0" w:color="auto"/>
        <w:left w:val="none" w:sz="0" w:space="0" w:color="auto"/>
        <w:bottom w:val="none" w:sz="0" w:space="0" w:color="auto"/>
        <w:right w:val="none" w:sz="0" w:space="0" w:color="auto"/>
      </w:divBdr>
    </w:div>
    <w:div w:id="201677929">
      <w:bodyDiv w:val="1"/>
      <w:marLeft w:val="0"/>
      <w:marRight w:val="0"/>
      <w:marTop w:val="0"/>
      <w:marBottom w:val="0"/>
      <w:divBdr>
        <w:top w:val="none" w:sz="0" w:space="0" w:color="auto"/>
        <w:left w:val="none" w:sz="0" w:space="0" w:color="auto"/>
        <w:bottom w:val="none" w:sz="0" w:space="0" w:color="auto"/>
        <w:right w:val="none" w:sz="0" w:space="0" w:color="auto"/>
      </w:divBdr>
    </w:div>
    <w:div w:id="212735491">
      <w:bodyDiv w:val="1"/>
      <w:marLeft w:val="0"/>
      <w:marRight w:val="0"/>
      <w:marTop w:val="0"/>
      <w:marBottom w:val="0"/>
      <w:divBdr>
        <w:top w:val="none" w:sz="0" w:space="0" w:color="auto"/>
        <w:left w:val="none" w:sz="0" w:space="0" w:color="auto"/>
        <w:bottom w:val="none" w:sz="0" w:space="0" w:color="auto"/>
        <w:right w:val="none" w:sz="0" w:space="0" w:color="auto"/>
      </w:divBdr>
    </w:div>
    <w:div w:id="213548859">
      <w:bodyDiv w:val="1"/>
      <w:marLeft w:val="0"/>
      <w:marRight w:val="0"/>
      <w:marTop w:val="0"/>
      <w:marBottom w:val="0"/>
      <w:divBdr>
        <w:top w:val="none" w:sz="0" w:space="0" w:color="auto"/>
        <w:left w:val="none" w:sz="0" w:space="0" w:color="auto"/>
        <w:bottom w:val="none" w:sz="0" w:space="0" w:color="auto"/>
        <w:right w:val="none" w:sz="0" w:space="0" w:color="auto"/>
      </w:divBdr>
    </w:div>
    <w:div w:id="215162096">
      <w:bodyDiv w:val="1"/>
      <w:marLeft w:val="0"/>
      <w:marRight w:val="0"/>
      <w:marTop w:val="0"/>
      <w:marBottom w:val="0"/>
      <w:divBdr>
        <w:top w:val="none" w:sz="0" w:space="0" w:color="auto"/>
        <w:left w:val="none" w:sz="0" w:space="0" w:color="auto"/>
        <w:bottom w:val="none" w:sz="0" w:space="0" w:color="auto"/>
        <w:right w:val="none" w:sz="0" w:space="0" w:color="auto"/>
      </w:divBdr>
    </w:div>
    <w:div w:id="215244500">
      <w:bodyDiv w:val="1"/>
      <w:marLeft w:val="0"/>
      <w:marRight w:val="0"/>
      <w:marTop w:val="0"/>
      <w:marBottom w:val="0"/>
      <w:divBdr>
        <w:top w:val="none" w:sz="0" w:space="0" w:color="auto"/>
        <w:left w:val="none" w:sz="0" w:space="0" w:color="auto"/>
        <w:bottom w:val="none" w:sz="0" w:space="0" w:color="auto"/>
        <w:right w:val="none" w:sz="0" w:space="0" w:color="auto"/>
      </w:divBdr>
    </w:div>
    <w:div w:id="215825699">
      <w:bodyDiv w:val="1"/>
      <w:marLeft w:val="0"/>
      <w:marRight w:val="0"/>
      <w:marTop w:val="0"/>
      <w:marBottom w:val="0"/>
      <w:divBdr>
        <w:top w:val="none" w:sz="0" w:space="0" w:color="auto"/>
        <w:left w:val="none" w:sz="0" w:space="0" w:color="auto"/>
        <w:bottom w:val="none" w:sz="0" w:space="0" w:color="auto"/>
        <w:right w:val="none" w:sz="0" w:space="0" w:color="auto"/>
      </w:divBdr>
    </w:div>
    <w:div w:id="216015620">
      <w:bodyDiv w:val="1"/>
      <w:marLeft w:val="0"/>
      <w:marRight w:val="0"/>
      <w:marTop w:val="0"/>
      <w:marBottom w:val="0"/>
      <w:divBdr>
        <w:top w:val="none" w:sz="0" w:space="0" w:color="auto"/>
        <w:left w:val="none" w:sz="0" w:space="0" w:color="auto"/>
        <w:bottom w:val="none" w:sz="0" w:space="0" w:color="auto"/>
        <w:right w:val="none" w:sz="0" w:space="0" w:color="auto"/>
      </w:divBdr>
    </w:div>
    <w:div w:id="229195783">
      <w:bodyDiv w:val="1"/>
      <w:marLeft w:val="0"/>
      <w:marRight w:val="0"/>
      <w:marTop w:val="0"/>
      <w:marBottom w:val="0"/>
      <w:divBdr>
        <w:top w:val="none" w:sz="0" w:space="0" w:color="auto"/>
        <w:left w:val="none" w:sz="0" w:space="0" w:color="auto"/>
        <w:bottom w:val="none" w:sz="0" w:space="0" w:color="auto"/>
        <w:right w:val="none" w:sz="0" w:space="0" w:color="auto"/>
      </w:divBdr>
    </w:div>
    <w:div w:id="231427703">
      <w:bodyDiv w:val="1"/>
      <w:marLeft w:val="0"/>
      <w:marRight w:val="0"/>
      <w:marTop w:val="0"/>
      <w:marBottom w:val="0"/>
      <w:divBdr>
        <w:top w:val="none" w:sz="0" w:space="0" w:color="auto"/>
        <w:left w:val="none" w:sz="0" w:space="0" w:color="auto"/>
        <w:bottom w:val="none" w:sz="0" w:space="0" w:color="auto"/>
        <w:right w:val="none" w:sz="0" w:space="0" w:color="auto"/>
      </w:divBdr>
    </w:div>
    <w:div w:id="233006187">
      <w:bodyDiv w:val="1"/>
      <w:marLeft w:val="0"/>
      <w:marRight w:val="0"/>
      <w:marTop w:val="0"/>
      <w:marBottom w:val="0"/>
      <w:divBdr>
        <w:top w:val="none" w:sz="0" w:space="0" w:color="auto"/>
        <w:left w:val="none" w:sz="0" w:space="0" w:color="auto"/>
        <w:bottom w:val="none" w:sz="0" w:space="0" w:color="auto"/>
        <w:right w:val="none" w:sz="0" w:space="0" w:color="auto"/>
      </w:divBdr>
    </w:div>
    <w:div w:id="238247399">
      <w:bodyDiv w:val="1"/>
      <w:marLeft w:val="0"/>
      <w:marRight w:val="0"/>
      <w:marTop w:val="0"/>
      <w:marBottom w:val="0"/>
      <w:divBdr>
        <w:top w:val="none" w:sz="0" w:space="0" w:color="auto"/>
        <w:left w:val="none" w:sz="0" w:space="0" w:color="auto"/>
        <w:bottom w:val="none" w:sz="0" w:space="0" w:color="auto"/>
        <w:right w:val="none" w:sz="0" w:space="0" w:color="auto"/>
      </w:divBdr>
    </w:div>
    <w:div w:id="241182053">
      <w:bodyDiv w:val="1"/>
      <w:marLeft w:val="0"/>
      <w:marRight w:val="0"/>
      <w:marTop w:val="0"/>
      <w:marBottom w:val="0"/>
      <w:divBdr>
        <w:top w:val="none" w:sz="0" w:space="0" w:color="auto"/>
        <w:left w:val="none" w:sz="0" w:space="0" w:color="auto"/>
        <w:bottom w:val="none" w:sz="0" w:space="0" w:color="auto"/>
        <w:right w:val="none" w:sz="0" w:space="0" w:color="auto"/>
      </w:divBdr>
    </w:div>
    <w:div w:id="241986606">
      <w:bodyDiv w:val="1"/>
      <w:marLeft w:val="0"/>
      <w:marRight w:val="0"/>
      <w:marTop w:val="0"/>
      <w:marBottom w:val="0"/>
      <w:divBdr>
        <w:top w:val="none" w:sz="0" w:space="0" w:color="auto"/>
        <w:left w:val="none" w:sz="0" w:space="0" w:color="auto"/>
        <w:bottom w:val="none" w:sz="0" w:space="0" w:color="auto"/>
        <w:right w:val="none" w:sz="0" w:space="0" w:color="auto"/>
      </w:divBdr>
    </w:div>
    <w:div w:id="242182142">
      <w:bodyDiv w:val="1"/>
      <w:marLeft w:val="0"/>
      <w:marRight w:val="0"/>
      <w:marTop w:val="0"/>
      <w:marBottom w:val="0"/>
      <w:divBdr>
        <w:top w:val="none" w:sz="0" w:space="0" w:color="auto"/>
        <w:left w:val="none" w:sz="0" w:space="0" w:color="auto"/>
        <w:bottom w:val="none" w:sz="0" w:space="0" w:color="auto"/>
        <w:right w:val="none" w:sz="0" w:space="0" w:color="auto"/>
      </w:divBdr>
    </w:div>
    <w:div w:id="243031482">
      <w:bodyDiv w:val="1"/>
      <w:marLeft w:val="0"/>
      <w:marRight w:val="0"/>
      <w:marTop w:val="0"/>
      <w:marBottom w:val="0"/>
      <w:divBdr>
        <w:top w:val="none" w:sz="0" w:space="0" w:color="auto"/>
        <w:left w:val="none" w:sz="0" w:space="0" w:color="auto"/>
        <w:bottom w:val="none" w:sz="0" w:space="0" w:color="auto"/>
        <w:right w:val="none" w:sz="0" w:space="0" w:color="auto"/>
      </w:divBdr>
    </w:div>
    <w:div w:id="251279432">
      <w:bodyDiv w:val="1"/>
      <w:marLeft w:val="0"/>
      <w:marRight w:val="0"/>
      <w:marTop w:val="0"/>
      <w:marBottom w:val="0"/>
      <w:divBdr>
        <w:top w:val="none" w:sz="0" w:space="0" w:color="auto"/>
        <w:left w:val="none" w:sz="0" w:space="0" w:color="auto"/>
        <w:bottom w:val="none" w:sz="0" w:space="0" w:color="auto"/>
        <w:right w:val="none" w:sz="0" w:space="0" w:color="auto"/>
      </w:divBdr>
    </w:div>
    <w:div w:id="258880512">
      <w:bodyDiv w:val="1"/>
      <w:marLeft w:val="0"/>
      <w:marRight w:val="0"/>
      <w:marTop w:val="0"/>
      <w:marBottom w:val="0"/>
      <w:divBdr>
        <w:top w:val="none" w:sz="0" w:space="0" w:color="auto"/>
        <w:left w:val="none" w:sz="0" w:space="0" w:color="auto"/>
        <w:bottom w:val="none" w:sz="0" w:space="0" w:color="auto"/>
        <w:right w:val="none" w:sz="0" w:space="0" w:color="auto"/>
      </w:divBdr>
    </w:div>
    <w:div w:id="259221545">
      <w:bodyDiv w:val="1"/>
      <w:marLeft w:val="0"/>
      <w:marRight w:val="0"/>
      <w:marTop w:val="0"/>
      <w:marBottom w:val="0"/>
      <w:divBdr>
        <w:top w:val="none" w:sz="0" w:space="0" w:color="auto"/>
        <w:left w:val="none" w:sz="0" w:space="0" w:color="auto"/>
        <w:bottom w:val="none" w:sz="0" w:space="0" w:color="auto"/>
        <w:right w:val="none" w:sz="0" w:space="0" w:color="auto"/>
      </w:divBdr>
    </w:div>
    <w:div w:id="261955276">
      <w:bodyDiv w:val="1"/>
      <w:marLeft w:val="0"/>
      <w:marRight w:val="0"/>
      <w:marTop w:val="0"/>
      <w:marBottom w:val="0"/>
      <w:divBdr>
        <w:top w:val="none" w:sz="0" w:space="0" w:color="auto"/>
        <w:left w:val="none" w:sz="0" w:space="0" w:color="auto"/>
        <w:bottom w:val="none" w:sz="0" w:space="0" w:color="auto"/>
        <w:right w:val="none" w:sz="0" w:space="0" w:color="auto"/>
      </w:divBdr>
    </w:div>
    <w:div w:id="266161147">
      <w:bodyDiv w:val="1"/>
      <w:marLeft w:val="0"/>
      <w:marRight w:val="0"/>
      <w:marTop w:val="0"/>
      <w:marBottom w:val="0"/>
      <w:divBdr>
        <w:top w:val="none" w:sz="0" w:space="0" w:color="auto"/>
        <w:left w:val="none" w:sz="0" w:space="0" w:color="auto"/>
        <w:bottom w:val="none" w:sz="0" w:space="0" w:color="auto"/>
        <w:right w:val="none" w:sz="0" w:space="0" w:color="auto"/>
      </w:divBdr>
    </w:div>
    <w:div w:id="267323274">
      <w:bodyDiv w:val="1"/>
      <w:marLeft w:val="0"/>
      <w:marRight w:val="0"/>
      <w:marTop w:val="0"/>
      <w:marBottom w:val="0"/>
      <w:divBdr>
        <w:top w:val="none" w:sz="0" w:space="0" w:color="auto"/>
        <w:left w:val="none" w:sz="0" w:space="0" w:color="auto"/>
        <w:bottom w:val="none" w:sz="0" w:space="0" w:color="auto"/>
        <w:right w:val="none" w:sz="0" w:space="0" w:color="auto"/>
      </w:divBdr>
    </w:div>
    <w:div w:id="268974451">
      <w:bodyDiv w:val="1"/>
      <w:marLeft w:val="0"/>
      <w:marRight w:val="0"/>
      <w:marTop w:val="0"/>
      <w:marBottom w:val="0"/>
      <w:divBdr>
        <w:top w:val="none" w:sz="0" w:space="0" w:color="auto"/>
        <w:left w:val="none" w:sz="0" w:space="0" w:color="auto"/>
        <w:bottom w:val="none" w:sz="0" w:space="0" w:color="auto"/>
        <w:right w:val="none" w:sz="0" w:space="0" w:color="auto"/>
      </w:divBdr>
    </w:div>
    <w:div w:id="274093498">
      <w:bodyDiv w:val="1"/>
      <w:marLeft w:val="0"/>
      <w:marRight w:val="0"/>
      <w:marTop w:val="0"/>
      <w:marBottom w:val="0"/>
      <w:divBdr>
        <w:top w:val="none" w:sz="0" w:space="0" w:color="auto"/>
        <w:left w:val="none" w:sz="0" w:space="0" w:color="auto"/>
        <w:bottom w:val="none" w:sz="0" w:space="0" w:color="auto"/>
        <w:right w:val="none" w:sz="0" w:space="0" w:color="auto"/>
      </w:divBdr>
    </w:div>
    <w:div w:id="284235260">
      <w:bodyDiv w:val="1"/>
      <w:marLeft w:val="0"/>
      <w:marRight w:val="0"/>
      <w:marTop w:val="0"/>
      <w:marBottom w:val="0"/>
      <w:divBdr>
        <w:top w:val="none" w:sz="0" w:space="0" w:color="auto"/>
        <w:left w:val="none" w:sz="0" w:space="0" w:color="auto"/>
        <w:bottom w:val="none" w:sz="0" w:space="0" w:color="auto"/>
        <w:right w:val="none" w:sz="0" w:space="0" w:color="auto"/>
      </w:divBdr>
    </w:div>
    <w:div w:id="286011638">
      <w:bodyDiv w:val="1"/>
      <w:marLeft w:val="0"/>
      <w:marRight w:val="0"/>
      <w:marTop w:val="0"/>
      <w:marBottom w:val="0"/>
      <w:divBdr>
        <w:top w:val="none" w:sz="0" w:space="0" w:color="auto"/>
        <w:left w:val="none" w:sz="0" w:space="0" w:color="auto"/>
        <w:bottom w:val="none" w:sz="0" w:space="0" w:color="auto"/>
        <w:right w:val="none" w:sz="0" w:space="0" w:color="auto"/>
      </w:divBdr>
    </w:div>
    <w:div w:id="292174734">
      <w:bodyDiv w:val="1"/>
      <w:marLeft w:val="0"/>
      <w:marRight w:val="0"/>
      <w:marTop w:val="0"/>
      <w:marBottom w:val="0"/>
      <w:divBdr>
        <w:top w:val="none" w:sz="0" w:space="0" w:color="auto"/>
        <w:left w:val="none" w:sz="0" w:space="0" w:color="auto"/>
        <w:bottom w:val="none" w:sz="0" w:space="0" w:color="auto"/>
        <w:right w:val="none" w:sz="0" w:space="0" w:color="auto"/>
      </w:divBdr>
    </w:div>
    <w:div w:id="300424114">
      <w:bodyDiv w:val="1"/>
      <w:marLeft w:val="0"/>
      <w:marRight w:val="0"/>
      <w:marTop w:val="0"/>
      <w:marBottom w:val="0"/>
      <w:divBdr>
        <w:top w:val="none" w:sz="0" w:space="0" w:color="auto"/>
        <w:left w:val="none" w:sz="0" w:space="0" w:color="auto"/>
        <w:bottom w:val="none" w:sz="0" w:space="0" w:color="auto"/>
        <w:right w:val="none" w:sz="0" w:space="0" w:color="auto"/>
      </w:divBdr>
    </w:div>
    <w:div w:id="303658245">
      <w:bodyDiv w:val="1"/>
      <w:marLeft w:val="0"/>
      <w:marRight w:val="0"/>
      <w:marTop w:val="0"/>
      <w:marBottom w:val="0"/>
      <w:divBdr>
        <w:top w:val="none" w:sz="0" w:space="0" w:color="auto"/>
        <w:left w:val="none" w:sz="0" w:space="0" w:color="auto"/>
        <w:bottom w:val="none" w:sz="0" w:space="0" w:color="auto"/>
        <w:right w:val="none" w:sz="0" w:space="0" w:color="auto"/>
      </w:divBdr>
    </w:div>
    <w:div w:id="304899532">
      <w:bodyDiv w:val="1"/>
      <w:marLeft w:val="0"/>
      <w:marRight w:val="0"/>
      <w:marTop w:val="0"/>
      <w:marBottom w:val="0"/>
      <w:divBdr>
        <w:top w:val="none" w:sz="0" w:space="0" w:color="auto"/>
        <w:left w:val="none" w:sz="0" w:space="0" w:color="auto"/>
        <w:bottom w:val="none" w:sz="0" w:space="0" w:color="auto"/>
        <w:right w:val="none" w:sz="0" w:space="0" w:color="auto"/>
      </w:divBdr>
    </w:div>
    <w:div w:id="311444938">
      <w:bodyDiv w:val="1"/>
      <w:marLeft w:val="0"/>
      <w:marRight w:val="0"/>
      <w:marTop w:val="0"/>
      <w:marBottom w:val="0"/>
      <w:divBdr>
        <w:top w:val="none" w:sz="0" w:space="0" w:color="auto"/>
        <w:left w:val="none" w:sz="0" w:space="0" w:color="auto"/>
        <w:bottom w:val="none" w:sz="0" w:space="0" w:color="auto"/>
        <w:right w:val="none" w:sz="0" w:space="0" w:color="auto"/>
      </w:divBdr>
    </w:div>
    <w:div w:id="314339545">
      <w:bodyDiv w:val="1"/>
      <w:marLeft w:val="0"/>
      <w:marRight w:val="0"/>
      <w:marTop w:val="0"/>
      <w:marBottom w:val="0"/>
      <w:divBdr>
        <w:top w:val="none" w:sz="0" w:space="0" w:color="auto"/>
        <w:left w:val="none" w:sz="0" w:space="0" w:color="auto"/>
        <w:bottom w:val="none" w:sz="0" w:space="0" w:color="auto"/>
        <w:right w:val="none" w:sz="0" w:space="0" w:color="auto"/>
      </w:divBdr>
    </w:div>
    <w:div w:id="324862560">
      <w:bodyDiv w:val="1"/>
      <w:marLeft w:val="0"/>
      <w:marRight w:val="0"/>
      <w:marTop w:val="0"/>
      <w:marBottom w:val="0"/>
      <w:divBdr>
        <w:top w:val="none" w:sz="0" w:space="0" w:color="auto"/>
        <w:left w:val="none" w:sz="0" w:space="0" w:color="auto"/>
        <w:bottom w:val="none" w:sz="0" w:space="0" w:color="auto"/>
        <w:right w:val="none" w:sz="0" w:space="0" w:color="auto"/>
      </w:divBdr>
    </w:div>
    <w:div w:id="327096349">
      <w:bodyDiv w:val="1"/>
      <w:marLeft w:val="0"/>
      <w:marRight w:val="0"/>
      <w:marTop w:val="0"/>
      <w:marBottom w:val="0"/>
      <w:divBdr>
        <w:top w:val="none" w:sz="0" w:space="0" w:color="auto"/>
        <w:left w:val="none" w:sz="0" w:space="0" w:color="auto"/>
        <w:bottom w:val="none" w:sz="0" w:space="0" w:color="auto"/>
        <w:right w:val="none" w:sz="0" w:space="0" w:color="auto"/>
      </w:divBdr>
    </w:div>
    <w:div w:id="330529675">
      <w:bodyDiv w:val="1"/>
      <w:marLeft w:val="0"/>
      <w:marRight w:val="0"/>
      <w:marTop w:val="0"/>
      <w:marBottom w:val="0"/>
      <w:divBdr>
        <w:top w:val="none" w:sz="0" w:space="0" w:color="auto"/>
        <w:left w:val="none" w:sz="0" w:space="0" w:color="auto"/>
        <w:bottom w:val="none" w:sz="0" w:space="0" w:color="auto"/>
        <w:right w:val="none" w:sz="0" w:space="0" w:color="auto"/>
      </w:divBdr>
    </w:div>
    <w:div w:id="335498308">
      <w:bodyDiv w:val="1"/>
      <w:marLeft w:val="0"/>
      <w:marRight w:val="0"/>
      <w:marTop w:val="0"/>
      <w:marBottom w:val="0"/>
      <w:divBdr>
        <w:top w:val="none" w:sz="0" w:space="0" w:color="auto"/>
        <w:left w:val="none" w:sz="0" w:space="0" w:color="auto"/>
        <w:bottom w:val="none" w:sz="0" w:space="0" w:color="auto"/>
        <w:right w:val="none" w:sz="0" w:space="0" w:color="auto"/>
      </w:divBdr>
    </w:div>
    <w:div w:id="339236639">
      <w:bodyDiv w:val="1"/>
      <w:marLeft w:val="0"/>
      <w:marRight w:val="0"/>
      <w:marTop w:val="0"/>
      <w:marBottom w:val="0"/>
      <w:divBdr>
        <w:top w:val="none" w:sz="0" w:space="0" w:color="auto"/>
        <w:left w:val="none" w:sz="0" w:space="0" w:color="auto"/>
        <w:bottom w:val="none" w:sz="0" w:space="0" w:color="auto"/>
        <w:right w:val="none" w:sz="0" w:space="0" w:color="auto"/>
      </w:divBdr>
    </w:div>
    <w:div w:id="341980638">
      <w:bodyDiv w:val="1"/>
      <w:marLeft w:val="0"/>
      <w:marRight w:val="0"/>
      <w:marTop w:val="0"/>
      <w:marBottom w:val="0"/>
      <w:divBdr>
        <w:top w:val="none" w:sz="0" w:space="0" w:color="auto"/>
        <w:left w:val="none" w:sz="0" w:space="0" w:color="auto"/>
        <w:bottom w:val="none" w:sz="0" w:space="0" w:color="auto"/>
        <w:right w:val="none" w:sz="0" w:space="0" w:color="auto"/>
      </w:divBdr>
    </w:div>
    <w:div w:id="342514093">
      <w:bodyDiv w:val="1"/>
      <w:marLeft w:val="0"/>
      <w:marRight w:val="0"/>
      <w:marTop w:val="0"/>
      <w:marBottom w:val="0"/>
      <w:divBdr>
        <w:top w:val="none" w:sz="0" w:space="0" w:color="auto"/>
        <w:left w:val="none" w:sz="0" w:space="0" w:color="auto"/>
        <w:bottom w:val="none" w:sz="0" w:space="0" w:color="auto"/>
        <w:right w:val="none" w:sz="0" w:space="0" w:color="auto"/>
      </w:divBdr>
    </w:div>
    <w:div w:id="349375201">
      <w:bodyDiv w:val="1"/>
      <w:marLeft w:val="0"/>
      <w:marRight w:val="0"/>
      <w:marTop w:val="0"/>
      <w:marBottom w:val="0"/>
      <w:divBdr>
        <w:top w:val="none" w:sz="0" w:space="0" w:color="auto"/>
        <w:left w:val="none" w:sz="0" w:space="0" w:color="auto"/>
        <w:bottom w:val="none" w:sz="0" w:space="0" w:color="auto"/>
        <w:right w:val="none" w:sz="0" w:space="0" w:color="auto"/>
      </w:divBdr>
    </w:div>
    <w:div w:id="351690479">
      <w:bodyDiv w:val="1"/>
      <w:marLeft w:val="0"/>
      <w:marRight w:val="0"/>
      <w:marTop w:val="0"/>
      <w:marBottom w:val="0"/>
      <w:divBdr>
        <w:top w:val="none" w:sz="0" w:space="0" w:color="auto"/>
        <w:left w:val="none" w:sz="0" w:space="0" w:color="auto"/>
        <w:bottom w:val="none" w:sz="0" w:space="0" w:color="auto"/>
        <w:right w:val="none" w:sz="0" w:space="0" w:color="auto"/>
      </w:divBdr>
    </w:div>
    <w:div w:id="351802777">
      <w:bodyDiv w:val="1"/>
      <w:marLeft w:val="0"/>
      <w:marRight w:val="0"/>
      <w:marTop w:val="0"/>
      <w:marBottom w:val="0"/>
      <w:divBdr>
        <w:top w:val="none" w:sz="0" w:space="0" w:color="auto"/>
        <w:left w:val="none" w:sz="0" w:space="0" w:color="auto"/>
        <w:bottom w:val="none" w:sz="0" w:space="0" w:color="auto"/>
        <w:right w:val="none" w:sz="0" w:space="0" w:color="auto"/>
      </w:divBdr>
    </w:div>
    <w:div w:id="353268178">
      <w:bodyDiv w:val="1"/>
      <w:marLeft w:val="0"/>
      <w:marRight w:val="0"/>
      <w:marTop w:val="0"/>
      <w:marBottom w:val="0"/>
      <w:divBdr>
        <w:top w:val="none" w:sz="0" w:space="0" w:color="auto"/>
        <w:left w:val="none" w:sz="0" w:space="0" w:color="auto"/>
        <w:bottom w:val="none" w:sz="0" w:space="0" w:color="auto"/>
        <w:right w:val="none" w:sz="0" w:space="0" w:color="auto"/>
      </w:divBdr>
    </w:div>
    <w:div w:id="356925723">
      <w:bodyDiv w:val="1"/>
      <w:marLeft w:val="0"/>
      <w:marRight w:val="0"/>
      <w:marTop w:val="0"/>
      <w:marBottom w:val="0"/>
      <w:divBdr>
        <w:top w:val="none" w:sz="0" w:space="0" w:color="auto"/>
        <w:left w:val="none" w:sz="0" w:space="0" w:color="auto"/>
        <w:bottom w:val="none" w:sz="0" w:space="0" w:color="auto"/>
        <w:right w:val="none" w:sz="0" w:space="0" w:color="auto"/>
      </w:divBdr>
    </w:div>
    <w:div w:id="358631040">
      <w:bodyDiv w:val="1"/>
      <w:marLeft w:val="0"/>
      <w:marRight w:val="0"/>
      <w:marTop w:val="0"/>
      <w:marBottom w:val="0"/>
      <w:divBdr>
        <w:top w:val="none" w:sz="0" w:space="0" w:color="auto"/>
        <w:left w:val="none" w:sz="0" w:space="0" w:color="auto"/>
        <w:bottom w:val="none" w:sz="0" w:space="0" w:color="auto"/>
        <w:right w:val="none" w:sz="0" w:space="0" w:color="auto"/>
      </w:divBdr>
    </w:div>
    <w:div w:id="359824095">
      <w:bodyDiv w:val="1"/>
      <w:marLeft w:val="0"/>
      <w:marRight w:val="0"/>
      <w:marTop w:val="0"/>
      <w:marBottom w:val="0"/>
      <w:divBdr>
        <w:top w:val="none" w:sz="0" w:space="0" w:color="auto"/>
        <w:left w:val="none" w:sz="0" w:space="0" w:color="auto"/>
        <w:bottom w:val="none" w:sz="0" w:space="0" w:color="auto"/>
        <w:right w:val="none" w:sz="0" w:space="0" w:color="auto"/>
      </w:divBdr>
    </w:div>
    <w:div w:id="383648606">
      <w:bodyDiv w:val="1"/>
      <w:marLeft w:val="0"/>
      <w:marRight w:val="0"/>
      <w:marTop w:val="0"/>
      <w:marBottom w:val="0"/>
      <w:divBdr>
        <w:top w:val="none" w:sz="0" w:space="0" w:color="auto"/>
        <w:left w:val="none" w:sz="0" w:space="0" w:color="auto"/>
        <w:bottom w:val="none" w:sz="0" w:space="0" w:color="auto"/>
        <w:right w:val="none" w:sz="0" w:space="0" w:color="auto"/>
      </w:divBdr>
    </w:div>
    <w:div w:id="395517963">
      <w:bodyDiv w:val="1"/>
      <w:marLeft w:val="0"/>
      <w:marRight w:val="0"/>
      <w:marTop w:val="0"/>
      <w:marBottom w:val="0"/>
      <w:divBdr>
        <w:top w:val="none" w:sz="0" w:space="0" w:color="auto"/>
        <w:left w:val="none" w:sz="0" w:space="0" w:color="auto"/>
        <w:bottom w:val="none" w:sz="0" w:space="0" w:color="auto"/>
        <w:right w:val="none" w:sz="0" w:space="0" w:color="auto"/>
      </w:divBdr>
    </w:div>
    <w:div w:id="398481249">
      <w:bodyDiv w:val="1"/>
      <w:marLeft w:val="0"/>
      <w:marRight w:val="0"/>
      <w:marTop w:val="0"/>
      <w:marBottom w:val="0"/>
      <w:divBdr>
        <w:top w:val="none" w:sz="0" w:space="0" w:color="auto"/>
        <w:left w:val="none" w:sz="0" w:space="0" w:color="auto"/>
        <w:bottom w:val="none" w:sz="0" w:space="0" w:color="auto"/>
        <w:right w:val="none" w:sz="0" w:space="0" w:color="auto"/>
      </w:divBdr>
    </w:div>
    <w:div w:id="408506578">
      <w:bodyDiv w:val="1"/>
      <w:marLeft w:val="0"/>
      <w:marRight w:val="0"/>
      <w:marTop w:val="0"/>
      <w:marBottom w:val="0"/>
      <w:divBdr>
        <w:top w:val="none" w:sz="0" w:space="0" w:color="auto"/>
        <w:left w:val="none" w:sz="0" w:space="0" w:color="auto"/>
        <w:bottom w:val="none" w:sz="0" w:space="0" w:color="auto"/>
        <w:right w:val="none" w:sz="0" w:space="0" w:color="auto"/>
      </w:divBdr>
    </w:div>
    <w:div w:id="410809261">
      <w:bodyDiv w:val="1"/>
      <w:marLeft w:val="0"/>
      <w:marRight w:val="0"/>
      <w:marTop w:val="0"/>
      <w:marBottom w:val="0"/>
      <w:divBdr>
        <w:top w:val="none" w:sz="0" w:space="0" w:color="auto"/>
        <w:left w:val="none" w:sz="0" w:space="0" w:color="auto"/>
        <w:bottom w:val="none" w:sz="0" w:space="0" w:color="auto"/>
        <w:right w:val="none" w:sz="0" w:space="0" w:color="auto"/>
      </w:divBdr>
    </w:div>
    <w:div w:id="413671738">
      <w:bodyDiv w:val="1"/>
      <w:marLeft w:val="0"/>
      <w:marRight w:val="0"/>
      <w:marTop w:val="0"/>
      <w:marBottom w:val="0"/>
      <w:divBdr>
        <w:top w:val="none" w:sz="0" w:space="0" w:color="auto"/>
        <w:left w:val="none" w:sz="0" w:space="0" w:color="auto"/>
        <w:bottom w:val="none" w:sz="0" w:space="0" w:color="auto"/>
        <w:right w:val="none" w:sz="0" w:space="0" w:color="auto"/>
      </w:divBdr>
    </w:div>
    <w:div w:id="418065602">
      <w:bodyDiv w:val="1"/>
      <w:marLeft w:val="0"/>
      <w:marRight w:val="0"/>
      <w:marTop w:val="0"/>
      <w:marBottom w:val="0"/>
      <w:divBdr>
        <w:top w:val="none" w:sz="0" w:space="0" w:color="auto"/>
        <w:left w:val="none" w:sz="0" w:space="0" w:color="auto"/>
        <w:bottom w:val="none" w:sz="0" w:space="0" w:color="auto"/>
        <w:right w:val="none" w:sz="0" w:space="0" w:color="auto"/>
      </w:divBdr>
    </w:div>
    <w:div w:id="433718413">
      <w:bodyDiv w:val="1"/>
      <w:marLeft w:val="0"/>
      <w:marRight w:val="0"/>
      <w:marTop w:val="0"/>
      <w:marBottom w:val="0"/>
      <w:divBdr>
        <w:top w:val="none" w:sz="0" w:space="0" w:color="auto"/>
        <w:left w:val="none" w:sz="0" w:space="0" w:color="auto"/>
        <w:bottom w:val="none" w:sz="0" w:space="0" w:color="auto"/>
        <w:right w:val="none" w:sz="0" w:space="0" w:color="auto"/>
      </w:divBdr>
    </w:div>
    <w:div w:id="434253562">
      <w:bodyDiv w:val="1"/>
      <w:marLeft w:val="0"/>
      <w:marRight w:val="0"/>
      <w:marTop w:val="0"/>
      <w:marBottom w:val="0"/>
      <w:divBdr>
        <w:top w:val="none" w:sz="0" w:space="0" w:color="auto"/>
        <w:left w:val="none" w:sz="0" w:space="0" w:color="auto"/>
        <w:bottom w:val="none" w:sz="0" w:space="0" w:color="auto"/>
        <w:right w:val="none" w:sz="0" w:space="0" w:color="auto"/>
      </w:divBdr>
    </w:div>
    <w:div w:id="436827935">
      <w:bodyDiv w:val="1"/>
      <w:marLeft w:val="0"/>
      <w:marRight w:val="0"/>
      <w:marTop w:val="0"/>
      <w:marBottom w:val="0"/>
      <w:divBdr>
        <w:top w:val="none" w:sz="0" w:space="0" w:color="auto"/>
        <w:left w:val="none" w:sz="0" w:space="0" w:color="auto"/>
        <w:bottom w:val="none" w:sz="0" w:space="0" w:color="auto"/>
        <w:right w:val="none" w:sz="0" w:space="0" w:color="auto"/>
      </w:divBdr>
    </w:div>
    <w:div w:id="441799715">
      <w:bodyDiv w:val="1"/>
      <w:marLeft w:val="0"/>
      <w:marRight w:val="0"/>
      <w:marTop w:val="0"/>
      <w:marBottom w:val="0"/>
      <w:divBdr>
        <w:top w:val="none" w:sz="0" w:space="0" w:color="auto"/>
        <w:left w:val="none" w:sz="0" w:space="0" w:color="auto"/>
        <w:bottom w:val="none" w:sz="0" w:space="0" w:color="auto"/>
        <w:right w:val="none" w:sz="0" w:space="0" w:color="auto"/>
      </w:divBdr>
    </w:div>
    <w:div w:id="456219734">
      <w:bodyDiv w:val="1"/>
      <w:marLeft w:val="0"/>
      <w:marRight w:val="0"/>
      <w:marTop w:val="0"/>
      <w:marBottom w:val="0"/>
      <w:divBdr>
        <w:top w:val="none" w:sz="0" w:space="0" w:color="auto"/>
        <w:left w:val="none" w:sz="0" w:space="0" w:color="auto"/>
        <w:bottom w:val="none" w:sz="0" w:space="0" w:color="auto"/>
        <w:right w:val="none" w:sz="0" w:space="0" w:color="auto"/>
      </w:divBdr>
    </w:div>
    <w:div w:id="456798584">
      <w:bodyDiv w:val="1"/>
      <w:marLeft w:val="0"/>
      <w:marRight w:val="0"/>
      <w:marTop w:val="0"/>
      <w:marBottom w:val="0"/>
      <w:divBdr>
        <w:top w:val="none" w:sz="0" w:space="0" w:color="auto"/>
        <w:left w:val="none" w:sz="0" w:space="0" w:color="auto"/>
        <w:bottom w:val="none" w:sz="0" w:space="0" w:color="auto"/>
        <w:right w:val="none" w:sz="0" w:space="0" w:color="auto"/>
      </w:divBdr>
    </w:div>
    <w:div w:id="460151472">
      <w:bodyDiv w:val="1"/>
      <w:marLeft w:val="0"/>
      <w:marRight w:val="0"/>
      <w:marTop w:val="0"/>
      <w:marBottom w:val="0"/>
      <w:divBdr>
        <w:top w:val="none" w:sz="0" w:space="0" w:color="auto"/>
        <w:left w:val="none" w:sz="0" w:space="0" w:color="auto"/>
        <w:bottom w:val="none" w:sz="0" w:space="0" w:color="auto"/>
        <w:right w:val="none" w:sz="0" w:space="0" w:color="auto"/>
      </w:divBdr>
    </w:div>
    <w:div w:id="460540652">
      <w:bodyDiv w:val="1"/>
      <w:marLeft w:val="0"/>
      <w:marRight w:val="0"/>
      <w:marTop w:val="0"/>
      <w:marBottom w:val="0"/>
      <w:divBdr>
        <w:top w:val="none" w:sz="0" w:space="0" w:color="auto"/>
        <w:left w:val="none" w:sz="0" w:space="0" w:color="auto"/>
        <w:bottom w:val="none" w:sz="0" w:space="0" w:color="auto"/>
        <w:right w:val="none" w:sz="0" w:space="0" w:color="auto"/>
      </w:divBdr>
    </w:div>
    <w:div w:id="464203008">
      <w:bodyDiv w:val="1"/>
      <w:marLeft w:val="0"/>
      <w:marRight w:val="0"/>
      <w:marTop w:val="0"/>
      <w:marBottom w:val="0"/>
      <w:divBdr>
        <w:top w:val="none" w:sz="0" w:space="0" w:color="auto"/>
        <w:left w:val="none" w:sz="0" w:space="0" w:color="auto"/>
        <w:bottom w:val="none" w:sz="0" w:space="0" w:color="auto"/>
        <w:right w:val="none" w:sz="0" w:space="0" w:color="auto"/>
      </w:divBdr>
    </w:div>
    <w:div w:id="467746170">
      <w:bodyDiv w:val="1"/>
      <w:marLeft w:val="0"/>
      <w:marRight w:val="0"/>
      <w:marTop w:val="0"/>
      <w:marBottom w:val="0"/>
      <w:divBdr>
        <w:top w:val="none" w:sz="0" w:space="0" w:color="auto"/>
        <w:left w:val="none" w:sz="0" w:space="0" w:color="auto"/>
        <w:bottom w:val="none" w:sz="0" w:space="0" w:color="auto"/>
        <w:right w:val="none" w:sz="0" w:space="0" w:color="auto"/>
      </w:divBdr>
    </w:div>
    <w:div w:id="474224109">
      <w:bodyDiv w:val="1"/>
      <w:marLeft w:val="0"/>
      <w:marRight w:val="0"/>
      <w:marTop w:val="0"/>
      <w:marBottom w:val="0"/>
      <w:divBdr>
        <w:top w:val="none" w:sz="0" w:space="0" w:color="auto"/>
        <w:left w:val="none" w:sz="0" w:space="0" w:color="auto"/>
        <w:bottom w:val="none" w:sz="0" w:space="0" w:color="auto"/>
        <w:right w:val="none" w:sz="0" w:space="0" w:color="auto"/>
      </w:divBdr>
    </w:div>
    <w:div w:id="477306974">
      <w:bodyDiv w:val="1"/>
      <w:marLeft w:val="0"/>
      <w:marRight w:val="0"/>
      <w:marTop w:val="0"/>
      <w:marBottom w:val="0"/>
      <w:divBdr>
        <w:top w:val="none" w:sz="0" w:space="0" w:color="auto"/>
        <w:left w:val="none" w:sz="0" w:space="0" w:color="auto"/>
        <w:bottom w:val="none" w:sz="0" w:space="0" w:color="auto"/>
        <w:right w:val="none" w:sz="0" w:space="0" w:color="auto"/>
      </w:divBdr>
    </w:div>
    <w:div w:id="480391349">
      <w:bodyDiv w:val="1"/>
      <w:marLeft w:val="0"/>
      <w:marRight w:val="0"/>
      <w:marTop w:val="0"/>
      <w:marBottom w:val="0"/>
      <w:divBdr>
        <w:top w:val="none" w:sz="0" w:space="0" w:color="auto"/>
        <w:left w:val="none" w:sz="0" w:space="0" w:color="auto"/>
        <w:bottom w:val="none" w:sz="0" w:space="0" w:color="auto"/>
        <w:right w:val="none" w:sz="0" w:space="0" w:color="auto"/>
      </w:divBdr>
    </w:div>
    <w:div w:id="485318848">
      <w:bodyDiv w:val="1"/>
      <w:marLeft w:val="0"/>
      <w:marRight w:val="0"/>
      <w:marTop w:val="0"/>
      <w:marBottom w:val="0"/>
      <w:divBdr>
        <w:top w:val="none" w:sz="0" w:space="0" w:color="auto"/>
        <w:left w:val="none" w:sz="0" w:space="0" w:color="auto"/>
        <w:bottom w:val="none" w:sz="0" w:space="0" w:color="auto"/>
        <w:right w:val="none" w:sz="0" w:space="0" w:color="auto"/>
      </w:divBdr>
    </w:div>
    <w:div w:id="486670509">
      <w:bodyDiv w:val="1"/>
      <w:marLeft w:val="0"/>
      <w:marRight w:val="0"/>
      <w:marTop w:val="0"/>
      <w:marBottom w:val="0"/>
      <w:divBdr>
        <w:top w:val="none" w:sz="0" w:space="0" w:color="auto"/>
        <w:left w:val="none" w:sz="0" w:space="0" w:color="auto"/>
        <w:bottom w:val="none" w:sz="0" w:space="0" w:color="auto"/>
        <w:right w:val="none" w:sz="0" w:space="0" w:color="auto"/>
      </w:divBdr>
    </w:div>
    <w:div w:id="493617344">
      <w:bodyDiv w:val="1"/>
      <w:marLeft w:val="0"/>
      <w:marRight w:val="0"/>
      <w:marTop w:val="0"/>
      <w:marBottom w:val="0"/>
      <w:divBdr>
        <w:top w:val="none" w:sz="0" w:space="0" w:color="auto"/>
        <w:left w:val="none" w:sz="0" w:space="0" w:color="auto"/>
        <w:bottom w:val="none" w:sz="0" w:space="0" w:color="auto"/>
        <w:right w:val="none" w:sz="0" w:space="0" w:color="auto"/>
      </w:divBdr>
    </w:div>
    <w:div w:id="494804260">
      <w:bodyDiv w:val="1"/>
      <w:marLeft w:val="0"/>
      <w:marRight w:val="0"/>
      <w:marTop w:val="0"/>
      <w:marBottom w:val="0"/>
      <w:divBdr>
        <w:top w:val="none" w:sz="0" w:space="0" w:color="auto"/>
        <w:left w:val="none" w:sz="0" w:space="0" w:color="auto"/>
        <w:bottom w:val="none" w:sz="0" w:space="0" w:color="auto"/>
        <w:right w:val="none" w:sz="0" w:space="0" w:color="auto"/>
      </w:divBdr>
    </w:div>
    <w:div w:id="495075263">
      <w:bodyDiv w:val="1"/>
      <w:marLeft w:val="0"/>
      <w:marRight w:val="0"/>
      <w:marTop w:val="0"/>
      <w:marBottom w:val="0"/>
      <w:divBdr>
        <w:top w:val="none" w:sz="0" w:space="0" w:color="auto"/>
        <w:left w:val="none" w:sz="0" w:space="0" w:color="auto"/>
        <w:bottom w:val="none" w:sz="0" w:space="0" w:color="auto"/>
        <w:right w:val="none" w:sz="0" w:space="0" w:color="auto"/>
      </w:divBdr>
    </w:div>
    <w:div w:id="498424062">
      <w:bodyDiv w:val="1"/>
      <w:marLeft w:val="0"/>
      <w:marRight w:val="0"/>
      <w:marTop w:val="0"/>
      <w:marBottom w:val="0"/>
      <w:divBdr>
        <w:top w:val="none" w:sz="0" w:space="0" w:color="auto"/>
        <w:left w:val="none" w:sz="0" w:space="0" w:color="auto"/>
        <w:bottom w:val="none" w:sz="0" w:space="0" w:color="auto"/>
        <w:right w:val="none" w:sz="0" w:space="0" w:color="auto"/>
      </w:divBdr>
    </w:div>
    <w:div w:id="498428242">
      <w:bodyDiv w:val="1"/>
      <w:marLeft w:val="0"/>
      <w:marRight w:val="0"/>
      <w:marTop w:val="0"/>
      <w:marBottom w:val="0"/>
      <w:divBdr>
        <w:top w:val="none" w:sz="0" w:space="0" w:color="auto"/>
        <w:left w:val="none" w:sz="0" w:space="0" w:color="auto"/>
        <w:bottom w:val="none" w:sz="0" w:space="0" w:color="auto"/>
        <w:right w:val="none" w:sz="0" w:space="0" w:color="auto"/>
      </w:divBdr>
    </w:div>
    <w:div w:id="498545260">
      <w:bodyDiv w:val="1"/>
      <w:marLeft w:val="0"/>
      <w:marRight w:val="0"/>
      <w:marTop w:val="0"/>
      <w:marBottom w:val="0"/>
      <w:divBdr>
        <w:top w:val="none" w:sz="0" w:space="0" w:color="auto"/>
        <w:left w:val="none" w:sz="0" w:space="0" w:color="auto"/>
        <w:bottom w:val="none" w:sz="0" w:space="0" w:color="auto"/>
        <w:right w:val="none" w:sz="0" w:space="0" w:color="auto"/>
      </w:divBdr>
    </w:div>
    <w:div w:id="501118455">
      <w:bodyDiv w:val="1"/>
      <w:marLeft w:val="0"/>
      <w:marRight w:val="0"/>
      <w:marTop w:val="0"/>
      <w:marBottom w:val="0"/>
      <w:divBdr>
        <w:top w:val="none" w:sz="0" w:space="0" w:color="auto"/>
        <w:left w:val="none" w:sz="0" w:space="0" w:color="auto"/>
        <w:bottom w:val="none" w:sz="0" w:space="0" w:color="auto"/>
        <w:right w:val="none" w:sz="0" w:space="0" w:color="auto"/>
      </w:divBdr>
    </w:div>
    <w:div w:id="501509305">
      <w:bodyDiv w:val="1"/>
      <w:marLeft w:val="0"/>
      <w:marRight w:val="0"/>
      <w:marTop w:val="0"/>
      <w:marBottom w:val="0"/>
      <w:divBdr>
        <w:top w:val="none" w:sz="0" w:space="0" w:color="auto"/>
        <w:left w:val="none" w:sz="0" w:space="0" w:color="auto"/>
        <w:bottom w:val="none" w:sz="0" w:space="0" w:color="auto"/>
        <w:right w:val="none" w:sz="0" w:space="0" w:color="auto"/>
      </w:divBdr>
    </w:div>
    <w:div w:id="504521219">
      <w:bodyDiv w:val="1"/>
      <w:marLeft w:val="0"/>
      <w:marRight w:val="0"/>
      <w:marTop w:val="0"/>
      <w:marBottom w:val="0"/>
      <w:divBdr>
        <w:top w:val="none" w:sz="0" w:space="0" w:color="auto"/>
        <w:left w:val="none" w:sz="0" w:space="0" w:color="auto"/>
        <w:bottom w:val="none" w:sz="0" w:space="0" w:color="auto"/>
        <w:right w:val="none" w:sz="0" w:space="0" w:color="auto"/>
      </w:divBdr>
    </w:div>
    <w:div w:id="504980163">
      <w:bodyDiv w:val="1"/>
      <w:marLeft w:val="0"/>
      <w:marRight w:val="0"/>
      <w:marTop w:val="0"/>
      <w:marBottom w:val="0"/>
      <w:divBdr>
        <w:top w:val="none" w:sz="0" w:space="0" w:color="auto"/>
        <w:left w:val="none" w:sz="0" w:space="0" w:color="auto"/>
        <w:bottom w:val="none" w:sz="0" w:space="0" w:color="auto"/>
        <w:right w:val="none" w:sz="0" w:space="0" w:color="auto"/>
      </w:divBdr>
    </w:div>
    <w:div w:id="508909901">
      <w:bodyDiv w:val="1"/>
      <w:marLeft w:val="0"/>
      <w:marRight w:val="0"/>
      <w:marTop w:val="0"/>
      <w:marBottom w:val="0"/>
      <w:divBdr>
        <w:top w:val="none" w:sz="0" w:space="0" w:color="auto"/>
        <w:left w:val="none" w:sz="0" w:space="0" w:color="auto"/>
        <w:bottom w:val="none" w:sz="0" w:space="0" w:color="auto"/>
        <w:right w:val="none" w:sz="0" w:space="0" w:color="auto"/>
      </w:divBdr>
    </w:div>
    <w:div w:id="509762109">
      <w:bodyDiv w:val="1"/>
      <w:marLeft w:val="0"/>
      <w:marRight w:val="0"/>
      <w:marTop w:val="0"/>
      <w:marBottom w:val="0"/>
      <w:divBdr>
        <w:top w:val="none" w:sz="0" w:space="0" w:color="auto"/>
        <w:left w:val="none" w:sz="0" w:space="0" w:color="auto"/>
        <w:bottom w:val="none" w:sz="0" w:space="0" w:color="auto"/>
        <w:right w:val="none" w:sz="0" w:space="0" w:color="auto"/>
      </w:divBdr>
    </w:div>
    <w:div w:id="513765749">
      <w:bodyDiv w:val="1"/>
      <w:marLeft w:val="0"/>
      <w:marRight w:val="0"/>
      <w:marTop w:val="0"/>
      <w:marBottom w:val="0"/>
      <w:divBdr>
        <w:top w:val="none" w:sz="0" w:space="0" w:color="auto"/>
        <w:left w:val="none" w:sz="0" w:space="0" w:color="auto"/>
        <w:bottom w:val="none" w:sz="0" w:space="0" w:color="auto"/>
        <w:right w:val="none" w:sz="0" w:space="0" w:color="auto"/>
      </w:divBdr>
    </w:div>
    <w:div w:id="514227710">
      <w:bodyDiv w:val="1"/>
      <w:marLeft w:val="0"/>
      <w:marRight w:val="0"/>
      <w:marTop w:val="0"/>
      <w:marBottom w:val="0"/>
      <w:divBdr>
        <w:top w:val="none" w:sz="0" w:space="0" w:color="auto"/>
        <w:left w:val="none" w:sz="0" w:space="0" w:color="auto"/>
        <w:bottom w:val="none" w:sz="0" w:space="0" w:color="auto"/>
        <w:right w:val="none" w:sz="0" w:space="0" w:color="auto"/>
      </w:divBdr>
    </w:div>
    <w:div w:id="514349497">
      <w:bodyDiv w:val="1"/>
      <w:marLeft w:val="0"/>
      <w:marRight w:val="0"/>
      <w:marTop w:val="0"/>
      <w:marBottom w:val="0"/>
      <w:divBdr>
        <w:top w:val="none" w:sz="0" w:space="0" w:color="auto"/>
        <w:left w:val="none" w:sz="0" w:space="0" w:color="auto"/>
        <w:bottom w:val="none" w:sz="0" w:space="0" w:color="auto"/>
        <w:right w:val="none" w:sz="0" w:space="0" w:color="auto"/>
      </w:divBdr>
    </w:div>
    <w:div w:id="519123820">
      <w:bodyDiv w:val="1"/>
      <w:marLeft w:val="0"/>
      <w:marRight w:val="0"/>
      <w:marTop w:val="0"/>
      <w:marBottom w:val="0"/>
      <w:divBdr>
        <w:top w:val="none" w:sz="0" w:space="0" w:color="auto"/>
        <w:left w:val="none" w:sz="0" w:space="0" w:color="auto"/>
        <w:bottom w:val="none" w:sz="0" w:space="0" w:color="auto"/>
        <w:right w:val="none" w:sz="0" w:space="0" w:color="auto"/>
      </w:divBdr>
    </w:div>
    <w:div w:id="527186472">
      <w:bodyDiv w:val="1"/>
      <w:marLeft w:val="0"/>
      <w:marRight w:val="0"/>
      <w:marTop w:val="0"/>
      <w:marBottom w:val="0"/>
      <w:divBdr>
        <w:top w:val="none" w:sz="0" w:space="0" w:color="auto"/>
        <w:left w:val="none" w:sz="0" w:space="0" w:color="auto"/>
        <w:bottom w:val="none" w:sz="0" w:space="0" w:color="auto"/>
        <w:right w:val="none" w:sz="0" w:space="0" w:color="auto"/>
      </w:divBdr>
    </w:div>
    <w:div w:id="527303415">
      <w:bodyDiv w:val="1"/>
      <w:marLeft w:val="0"/>
      <w:marRight w:val="0"/>
      <w:marTop w:val="0"/>
      <w:marBottom w:val="0"/>
      <w:divBdr>
        <w:top w:val="none" w:sz="0" w:space="0" w:color="auto"/>
        <w:left w:val="none" w:sz="0" w:space="0" w:color="auto"/>
        <w:bottom w:val="none" w:sz="0" w:space="0" w:color="auto"/>
        <w:right w:val="none" w:sz="0" w:space="0" w:color="auto"/>
      </w:divBdr>
    </w:div>
    <w:div w:id="534076822">
      <w:bodyDiv w:val="1"/>
      <w:marLeft w:val="0"/>
      <w:marRight w:val="0"/>
      <w:marTop w:val="0"/>
      <w:marBottom w:val="0"/>
      <w:divBdr>
        <w:top w:val="none" w:sz="0" w:space="0" w:color="auto"/>
        <w:left w:val="none" w:sz="0" w:space="0" w:color="auto"/>
        <w:bottom w:val="none" w:sz="0" w:space="0" w:color="auto"/>
        <w:right w:val="none" w:sz="0" w:space="0" w:color="auto"/>
      </w:divBdr>
    </w:div>
    <w:div w:id="537856530">
      <w:bodyDiv w:val="1"/>
      <w:marLeft w:val="0"/>
      <w:marRight w:val="0"/>
      <w:marTop w:val="0"/>
      <w:marBottom w:val="0"/>
      <w:divBdr>
        <w:top w:val="none" w:sz="0" w:space="0" w:color="auto"/>
        <w:left w:val="none" w:sz="0" w:space="0" w:color="auto"/>
        <w:bottom w:val="none" w:sz="0" w:space="0" w:color="auto"/>
        <w:right w:val="none" w:sz="0" w:space="0" w:color="auto"/>
      </w:divBdr>
    </w:div>
    <w:div w:id="538324770">
      <w:bodyDiv w:val="1"/>
      <w:marLeft w:val="0"/>
      <w:marRight w:val="0"/>
      <w:marTop w:val="0"/>
      <w:marBottom w:val="0"/>
      <w:divBdr>
        <w:top w:val="none" w:sz="0" w:space="0" w:color="auto"/>
        <w:left w:val="none" w:sz="0" w:space="0" w:color="auto"/>
        <w:bottom w:val="none" w:sz="0" w:space="0" w:color="auto"/>
        <w:right w:val="none" w:sz="0" w:space="0" w:color="auto"/>
      </w:divBdr>
    </w:div>
    <w:div w:id="540675525">
      <w:bodyDiv w:val="1"/>
      <w:marLeft w:val="0"/>
      <w:marRight w:val="0"/>
      <w:marTop w:val="0"/>
      <w:marBottom w:val="0"/>
      <w:divBdr>
        <w:top w:val="none" w:sz="0" w:space="0" w:color="auto"/>
        <w:left w:val="none" w:sz="0" w:space="0" w:color="auto"/>
        <w:bottom w:val="none" w:sz="0" w:space="0" w:color="auto"/>
        <w:right w:val="none" w:sz="0" w:space="0" w:color="auto"/>
      </w:divBdr>
    </w:div>
    <w:div w:id="551845061">
      <w:bodyDiv w:val="1"/>
      <w:marLeft w:val="0"/>
      <w:marRight w:val="0"/>
      <w:marTop w:val="0"/>
      <w:marBottom w:val="0"/>
      <w:divBdr>
        <w:top w:val="none" w:sz="0" w:space="0" w:color="auto"/>
        <w:left w:val="none" w:sz="0" w:space="0" w:color="auto"/>
        <w:bottom w:val="none" w:sz="0" w:space="0" w:color="auto"/>
        <w:right w:val="none" w:sz="0" w:space="0" w:color="auto"/>
      </w:divBdr>
    </w:div>
    <w:div w:id="552354619">
      <w:bodyDiv w:val="1"/>
      <w:marLeft w:val="0"/>
      <w:marRight w:val="0"/>
      <w:marTop w:val="0"/>
      <w:marBottom w:val="0"/>
      <w:divBdr>
        <w:top w:val="none" w:sz="0" w:space="0" w:color="auto"/>
        <w:left w:val="none" w:sz="0" w:space="0" w:color="auto"/>
        <w:bottom w:val="none" w:sz="0" w:space="0" w:color="auto"/>
        <w:right w:val="none" w:sz="0" w:space="0" w:color="auto"/>
      </w:divBdr>
    </w:div>
    <w:div w:id="559902929">
      <w:bodyDiv w:val="1"/>
      <w:marLeft w:val="0"/>
      <w:marRight w:val="0"/>
      <w:marTop w:val="0"/>
      <w:marBottom w:val="0"/>
      <w:divBdr>
        <w:top w:val="none" w:sz="0" w:space="0" w:color="auto"/>
        <w:left w:val="none" w:sz="0" w:space="0" w:color="auto"/>
        <w:bottom w:val="none" w:sz="0" w:space="0" w:color="auto"/>
        <w:right w:val="none" w:sz="0" w:space="0" w:color="auto"/>
      </w:divBdr>
    </w:div>
    <w:div w:id="561986548">
      <w:bodyDiv w:val="1"/>
      <w:marLeft w:val="0"/>
      <w:marRight w:val="0"/>
      <w:marTop w:val="0"/>
      <w:marBottom w:val="0"/>
      <w:divBdr>
        <w:top w:val="none" w:sz="0" w:space="0" w:color="auto"/>
        <w:left w:val="none" w:sz="0" w:space="0" w:color="auto"/>
        <w:bottom w:val="none" w:sz="0" w:space="0" w:color="auto"/>
        <w:right w:val="none" w:sz="0" w:space="0" w:color="auto"/>
      </w:divBdr>
    </w:div>
    <w:div w:id="562564328">
      <w:bodyDiv w:val="1"/>
      <w:marLeft w:val="0"/>
      <w:marRight w:val="0"/>
      <w:marTop w:val="0"/>
      <w:marBottom w:val="0"/>
      <w:divBdr>
        <w:top w:val="none" w:sz="0" w:space="0" w:color="auto"/>
        <w:left w:val="none" w:sz="0" w:space="0" w:color="auto"/>
        <w:bottom w:val="none" w:sz="0" w:space="0" w:color="auto"/>
        <w:right w:val="none" w:sz="0" w:space="0" w:color="auto"/>
      </w:divBdr>
    </w:div>
    <w:div w:id="563301304">
      <w:bodyDiv w:val="1"/>
      <w:marLeft w:val="0"/>
      <w:marRight w:val="0"/>
      <w:marTop w:val="0"/>
      <w:marBottom w:val="0"/>
      <w:divBdr>
        <w:top w:val="none" w:sz="0" w:space="0" w:color="auto"/>
        <w:left w:val="none" w:sz="0" w:space="0" w:color="auto"/>
        <w:bottom w:val="none" w:sz="0" w:space="0" w:color="auto"/>
        <w:right w:val="none" w:sz="0" w:space="0" w:color="auto"/>
      </w:divBdr>
    </w:div>
    <w:div w:id="578516023">
      <w:bodyDiv w:val="1"/>
      <w:marLeft w:val="0"/>
      <w:marRight w:val="0"/>
      <w:marTop w:val="0"/>
      <w:marBottom w:val="0"/>
      <w:divBdr>
        <w:top w:val="none" w:sz="0" w:space="0" w:color="auto"/>
        <w:left w:val="none" w:sz="0" w:space="0" w:color="auto"/>
        <w:bottom w:val="none" w:sz="0" w:space="0" w:color="auto"/>
        <w:right w:val="none" w:sz="0" w:space="0" w:color="auto"/>
      </w:divBdr>
    </w:div>
    <w:div w:id="578950115">
      <w:bodyDiv w:val="1"/>
      <w:marLeft w:val="0"/>
      <w:marRight w:val="0"/>
      <w:marTop w:val="0"/>
      <w:marBottom w:val="0"/>
      <w:divBdr>
        <w:top w:val="none" w:sz="0" w:space="0" w:color="auto"/>
        <w:left w:val="none" w:sz="0" w:space="0" w:color="auto"/>
        <w:bottom w:val="none" w:sz="0" w:space="0" w:color="auto"/>
        <w:right w:val="none" w:sz="0" w:space="0" w:color="auto"/>
      </w:divBdr>
    </w:div>
    <w:div w:id="581138639">
      <w:bodyDiv w:val="1"/>
      <w:marLeft w:val="0"/>
      <w:marRight w:val="0"/>
      <w:marTop w:val="0"/>
      <w:marBottom w:val="0"/>
      <w:divBdr>
        <w:top w:val="none" w:sz="0" w:space="0" w:color="auto"/>
        <w:left w:val="none" w:sz="0" w:space="0" w:color="auto"/>
        <w:bottom w:val="none" w:sz="0" w:space="0" w:color="auto"/>
        <w:right w:val="none" w:sz="0" w:space="0" w:color="auto"/>
      </w:divBdr>
    </w:div>
    <w:div w:id="583028425">
      <w:bodyDiv w:val="1"/>
      <w:marLeft w:val="0"/>
      <w:marRight w:val="0"/>
      <w:marTop w:val="0"/>
      <w:marBottom w:val="0"/>
      <w:divBdr>
        <w:top w:val="none" w:sz="0" w:space="0" w:color="auto"/>
        <w:left w:val="none" w:sz="0" w:space="0" w:color="auto"/>
        <w:bottom w:val="none" w:sz="0" w:space="0" w:color="auto"/>
        <w:right w:val="none" w:sz="0" w:space="0" w:color="auto"/>
      </w:divBdr>
    </w:div>
    <w:div w:id="588999472">
      <w:bodyDiv w:val="1"/>
      <w:marLeft w:val="0"/>
      <w:marRight w:val="0"/>
      <w:marTop w:val="0"/>
      <w:marBottom w:val="0"/>
      <w:divBdr>
        <w:top w:val="none" w:sz="0" w:space="0" w:color="auto"/>
        <w:left w:val="none" w:sz="0" w:space="0" w:color="auto"/>
        <w:bottom w:val="none" w:sz="0" w:space="0" w:color="auto"/>
        <w:right w:val="none" w:sz="0" w:space="0" w:color="auto"/>
      </w:divBdr>
    </w:div>
    <w:div w:id="589002814">
      <w:bodyDiv w:val="1"/>
      <w:marLeft w:val="0"/>
      <w:marRight w:val="0"/>
      <w:marTop w:val="0"/>
      <w:marBottom w:val="0"/>
      <w:divBdr>
        <w:top w:val="none" w:sz="0" w:space="0" w:color="auto"/>
        <w:left w:val="none" w:sz="0" w:space="0" w:color="auto"/>
        <w:bottom w:val="none" w:sz="0" w:space="0" w:color="auto"/>
        <w:right w:val="none" w:sz="0" w:space="0" w:color="auto"/>
      </w:divBdr>
    </w:div>
    <w:div w:id="590309656">
      <w:bodyDiv w:val="1"/>
      <w:marLeft w:val="0"/>
      <w:marRight w:val="0"/>
      <w:marTop w:val="0"/>
      <w:marBottom w:val="0"/>
      <w:divBdr>
        <w:top w:val="none" w:sz="0" w:space="0" w:color="auto"/>
        <w:left w:val="none" w:sz="0" w:space="0" w:color="auto"/>
        <w:bottom w:val="none" w:sz="0" w:space="0" w:color="auto"/>
        <w:right w:val="none" w:sz="0" w:space="0" w:color="auto"/>
      </w:divBdr>
    </w:div>
    <w:div w:id="602345577">
      <w:bodyDiv w:val="1"/>
      <w:marLeft w:val="0"/>
      <w:marRight w:val="0"/>
      <w:marTop w:val="0"/>
      <w:marBottom w:val="0"/>
      <w:divBdr>
        <w:top w:val="none" w:sz="0" w:space="0" w:color="auto"/>
        <w:left w:val="none" w:sz="0" w:space="0" w:color="auto"/>
        <w:bottom w:val="none" w:sz="0" w:space="0" w:color="auto"/>
        <w:right w:val="none" w:sz="0" w:space="0" w:color="auto"/>
      </w:divBdr>
    </w:div>
    <w:div w:id="602764212">
      <w:bodyDiv w:val="1"/>
      <w:marLeft w:val="0"/>
      <w:marRight w:val="0"/>
      <w:marTop w:val="0"/>
      <w:marBottom w:val="0"/>
      <w:divBdr>
        <w:top w:val="none" w:sz="0" w:space="0" w:color="auto"/>
        <w:left w:val="none" w:sz="0" w:space="0" w:color="auto"/>
        <w:bottom w:val="none" w:sz="0" w:space="0" w:color="auto"/>
        <w:right w:val="none" w:sz="0" w:space="0" w:color="auto"/>
      </w:divBdr>
    </w:div>
    <w:div w:id="603726552">
      <w:bodyDiv w:val="1"/>
      <w:marLeft w:val="0"/>
      <w:marRight w:val="0"/>
      <w:marTop w:val="0"/>
      <w:marBottom w:val="0"/>
      <w:divBdr>
        <w:top w:val="none" w:sz="0" w:space="0" w:color="auto"/>
        <w:left w:val="none" w:sz="0" w:space="0" w:color="auto"/>
        <w:bottom w:val="none" w:sz="0" w:space="0" w:color="auto"/>
        <w:right w:val="none" w:sz="0" w:space="0" w:color="auto"/>
      </w:divBdr>
    </w:div>
    <w:div w:id="604919315">
      <w:bodyDiv w:val="1"/>
      <w:marLeft w:val="0"/>
      <w:marRight w:val="0"/>
      <w:marTop w:val="0"/>
      <w:marBottom w:val="0"/>
      <w:divBdr>
        <w:top w:val="none" w:sz="0" w:space="0" w:color="auto"/>
        <w:left w:val="none" w:sz="0" w:space="0" w:color="auto"/>
        <w:bottom w:val="none" w:sz="0" w:space="0" w:color="auto"/>
        <w:right w:val="none" w:sz="0" w:space="0" w:color="auto"/>
      </w:divBdr>
    </w:div>
    <w:div w:id="606623505">
      <w:bodyDiv w:val="1"/>
      <w:marLeft w:val="0"/>
      <w:marRight w:val="0"/>
      <w:marTop w:val="0"/>
      <w:marBottom w:val="0"/>
      <w:divBdr>
        <w:top w:val="none" w:sz="0" w:space="0" w:color="auto"/>
        <w:left w:val="none" w:sz="0" w:space="0" w:color="auto"/>
        <w:bottom w:val="none" w:sz="0" w:space="0" w:color="auto"/>
        <w:right w:val="none" w:sz="0" w:space="0" w:color="auto"/>
      </w:divBdr>
    </w:div>
    <w:div w:id="611476477">
      <w:bodyDiv w:val="1"/>
      <w:marLeft w:val="0"/>
      <w:marRight w:val="0"/>
      <w:marTop w:val="0"/>
      <w:marBottom w:val="0"/>
      <w:divBdr>
        <w:top w:val="none" w:sz="0" w:space="0" w:color="auto"/>
        <w:left w:val="none" w:sz="0" w:space="0" w:color="auto"/>
        <w:bottom w:val="none" w:sz="0" w:space="0" w:color="auto"/>
        <w:right w:val="none" w:sz="0" w:space="0" w:color="auto"/>
      </w:divBdr>
    </w:div>
    <w:div w:id="615529407">
      <w:bodyDiv w:val="1"/>
      <w:marLeft w:val="0"/>
      <w:marRight w:val="0"/>
      <w:marTop w:val="0"/>
      <w:marBottom w:val="0"/>
      <w:divBdr>
        <w:top w:val="none" w:sz="0" w:space="0" w:color="auto"/>
        <w:left w:val="none" w:sz="0" w:space="0" w:color="auto"/>
        <w:bottom w:val="none" w:sz="0" w:space="0" w:color="auto"/>
        <w:right w:val="none" w:sz="0" w:space="0" w:color="auto"/>
      </w:divBdr>
    </w:div>
    <w:div w:id="620039243">
      <w:bodyDiv w:val="1"/>
      <w:marLeft w:val="0"/>
      <w:marRight w:val="0"/>
      <w:marTop w:val="0"/>
      <w:marBottom w:val="0"/>
      <w:divBdr>
        <w:top w:val="none" w:sz="0" w:space="0" w:color="auto"/>
        <w:left w:val="none" w:sz="0" w:space="0" w:color="auto"/>
        <w:bottom w:val="none" w:sz="0" w:space="0" w:color="auto"/>
        <w:right w:val="none" w:sz="0" w:space="0" w:color="auto"/>
      </w:divBdr>
    </w:div>
    <w:div w:id="621111382">
      <w:bodyDiv w:val="1"/>
      <w:marLeft w:val="0"/>
      <w:marRight w:val="0"/>
      <w:marTop w:val="0"/>
      <w:marBottom w:val="0"/>
      <w:divBdr>
        <w:top w:val="none" w:sz="0" w:space="0" w:color="auto"/>
        <w:left w:val="none" w:sz="0" w:space="0" w:color="auto"/>
        <w:bottom w:val="none" w:sz="0" w:space="0" w:color="auto"/>
        <w:right w:val="none" w:sz="0" w:space="0" w:color="auto"/>
      </w:divBdr>
    </w:div>
    <w:div w:id="625549927">
      <w:bodyDiv w:val="1"/>
      <w:marLeft w:val="0"/>
      <w:marRight w:val="0"/>
      <w:marTop w:val="0"/>
      <w:marBottom w:val="0"/>
      <w:divBdr>
        <w:top w:val="none" w:sz="0" w:space="0" w:color="auto"/>
        <w:left w:val="none" w:sz="0" w:space="0" w:color="auto"/>
        <w:bottom w:val="none" w:sz="0" w:space="0" w:color="auto"/>
        <w:right w:val="none" w:sz="0" w:space="0" w:color="auto"/>
      </w:divBdr>
    </w:div>
    <w:div w:id="630984371">
      <w:bodyDiv w:val="1"/>
      <w:marLeft w:val="0"/>
      <w:marRight w:val="0"/>
      <w:marTop w:val="0"/>
      <w:marBottom w:val="0"/>
      <w:divBdr>
        <w:top w:val="none" w:sz="0" w:space="0" w:color="auto"/>
        <w:left w:val="none" w:sz="0" w:space="0" w:color="auto"/>
        <w:bottom w:val="none" w:sz="0" w:space="0" w:color="auto"/>
        <w:right w:val="none" w:sz="0" w:space="0" w:color="auto"/>
      </w:divBdr>
    </w:div>
    <w:div w:id="633558468">
      <w:bodyDiv w:val="1"/>
      <w:marLeft w:val="0"/>
      <w:marRight w:val="0"/>
      <w:marTop w:val="0"/>
      <w:marBottom w:val="0"/>
      <w:divBdr>
        <w:top w:val="none" w:sz="0" w:space="0" w:color="auto"/>
        <w:left w:val="none" w:sz="0" w:space="0" w:color="auto"/>
        <w:bottom w:val="none" w:sz="0" w:space="0" w:color="auto"/>
        <w:right w:val="none" w:sz="0" w:space="0" w:color="auto"/>
      </w:divBdr>
    </w:div>
    <w:div w:id="648050304">
      <w:bodyDiv w:val="1"/>
      <w:marLeft w:val="0"/>
      <w:marRight w:val="0"/>
      <w:marTop w:val="0"/>
      <w:marBottom w:val="0"/>
      <w:divBdr>
        <w:top w:val="none" w:sz="0" w:space="0" w:color="auto"/>
        <w:left w:val="none" w:sz="0" w:space="0" w:color="auto"/>
        <w:bottom w:val="none" w:sz="0" w:space="0" w:color="auto"/>
        <w:right w:val="none" w:sz="0" w:space="0" w:color="auto"/>
      </w:divBdr>
    </w:div>
    <w:div w:id="656228678">
      <w:bodyDiv w:val="1"/>
      <w:marLeft w:val="0"/>
      <w:marRight w:val="0"/>
      <w:marTop w:val="0"/>
      <w:marBottom w:val="0"/>
      <w:divBdr>
        <w:top w:val="none" w:sz="0" w:space="0" w:color="auto"/>
        <w:left w:val="none" w:sz="0" w:space="0" w:color="auto"/>
        <w:bottom w:val="none" w:sz="0" w:space="0" w:color="auto"/>
        <w:right w:val="none" w:sz="0" w:space="0" w:color="auto"/>
      </w:divBdr>
    </w:div>
    <w:div w:id="656694138">
      <w:bodyDiv w:val="1"/>
      <w:marLeft w:val="0"/>
      <w:marRight w:val="0"/>
      <w:marTop w:val="0"/>
      <w:marBottom w:val="0"/>
      <w:divBdr>
        <w:top w:val="none" w:sz="0" w:space="0" w:color="auto"/>
        <w:left w:val="none" w:sz="0" w:space="0" w:color="auto"/>
        <w:bottom w:val="none" w:sz="0" w:space="0" w:color="auto"/>
        <w:right w:val="none" w:sz="0" w:space="0" w:color="auto"/>
      </w:divBdr>
    </w:div>
    <w:div w:id="658730110">
      <w:bodyDiv w:val="1"/>
      <w:marLeft w:val="0"/>
      <w:marRight w:val="0"/>
      <w:marTop w:val="0"/>
      <w:marBottom w:val="0"/>
      <w:divBdr>
        <w:top w:val="none" w:sz="0" w:space="0" w:color="auto"/>
        <w:left w:val="none" w:sz="0" w:space="0" w:color="auto"/>
        <w:bottom w:val="none" w:sz="0" w:space="0" w:color="auto"/>
        <w:right w:val="none" w:sz="0" w:space="0" w:color="auto"/>
      </w:divBdr>
    </w:div>
    <w:div w:id="662513168">
      <w:bodyDiv w:val="1"/>
      <w:marLeft w:val="0"/>
      <w:marRight w:val="0"/>
      <w:marTop w:val="0"/>
      <w:marBottom w:val="0"/>
      <w:divBdr>
        <w:top w:val="none" w:sz="0" w:space="0" w:color="auto"/>
        <w:left w:val="none" w:sz="0" w:space="0" w:color="auto"/>
        <w:bottom w:val="none" w:sz="0" w:space="0" w:color="auto"/>
        <w:right w:val="none" w:sz="0" w:space="0" w:color="auto"/>
      </w:divBdr>
    </w:div>
    <w:div w:id="664824847">
      <w:bodyDiv w:val="1"/>
      <w:marLeft w:val="0"/>
      <w:marRight w:val="0"/>
      <w:marTop w:val="0"/>
      <w:marBottom w:val="0"/>
      <w:divBdr>
        <w:top w:val="none" w:sz="0" w:space="0" w:color="auto"/>
        <w:left w:val="none" w:sz="0" w:space="0" w:color="auto"/>
        <w:bottom w:val="none" w:sz="0" w:space="0" w:color="auto"/>
        <w:right w:val="none" w:sz="0" w:space="0" w:color="auto"/>
      </w:divBdr>
    </w:div>
    <w:div w:id="665865102">
      <w:bodyDiv w:val="1"/>
      <w:marLeft w:val="0"/>
      <w:marRight w:val="0"/>
      <w:marTop w:val="0"/>
      <w:marBottom w:val="0"/>
      <w:divBdr>
        <w:top w:val="none" w:sz="0" w:space="0" w:color="auto"/>
        <w:left w:val="none" w:sz="0" w:space="0" w:color="auto"/>
        <w:bottom w:val="none" w:sz="0" w:space="0" w:color="auto"/>
        <w:right w:val="none" w:sz="0" w:space="0" w:color="auto"/>
      </w:divBdr>
    </w:div>
    <w:div w:id="677118309">
      <w:bodyDiv w:val="1"/>
      <w:marLeft w:val="0"/>
      <w:marRight w:val="0"/>
      <w:marTop w:val="0"/>
      <w:marBottom w:val="0"/>
      <w:divBdr>
        <w:top w:val="none" w:sz="0" w:space="0" w:color="auto"/>
        <w:left w:val="none" w:sz="0" w:space="0" w:color="auto"/>
        <w:bottom w:val="none" w:sz="0" w:space="0" w:color="auto"/>
        <w:right w:val="none" w:sz="0" w:space="0" w:color="auto"/>
      </w:divBdr>
    </w:div>
    <w:div w:id="684480169">
      <w:bodyDiv w:val="1"/>
      <w:marLeft w:val="0"/>
      <w:marRight w:val="0"/>
      <w:marTop w:val="0"/>
      <w:marBottom w:val="0"/>
      <w:divBdr>
        <w:top w:val="none" w:sz="0" w:space="0" w:color="auto"/>
        <w:left w:val="none" w:sz="0" w:space="0" w:color="auto"/>
        <w:bottom w:val="none" w:sz="0" w:space="0" w:color="auto"/>
        <w:right w:val="none" w:sz="0" w:space="0" w:color="auto"/>
      </w:divBdr>
    </w:div>
    <w:div w:id="687023158">
      <w:bodyDiv w:val="1"/>
      <w:marLeft w:val="0"/>
      <w:marRight w:val="0"/>
      <w:marTop w:val="0"/>
      <w:marBottom w:val="0"/>
      <w:divBdr>
        <w:top w:val="none" w:sz="0" w:space="0" w:color="auto"/>
        <w:left w:val="none" w:sz="0" w:space="0" w:color="auto"/>
        <w:bottom w:val="none" w:sz="0" w:space="0" w:color="auto"/>
        <w:right w:val="none" w:sz="0" w:space="0" w:color="auto"/>
      </w:divBdr>
    </w:div>
    <w:div w:id="688222709">
      <w:bodyDiv w:val="1"/>
      <w:marLeft w:val="0"/>
      <w:marRight w:val="0"/>
      <w:marTop w:val="0"/>
      <w:marBottom w:val="0"/>
      <w:divBdr>
        <w:top w:val="none" w:sz="0" w:space="0" w:color="auto"/>
        <w:left w:val="none" w:sz="0" w:space="0" w:color="auto"/>
        <w:bottom w:val="none" w:sz="0" w:space="0" w:color="auto"/>
        <w:right w:val="none" w:sz="0" w:space="0" w:color="auto"/>
      </w:divBdr>
    </w:div>
    <w:div w:id="690187976">
      <w:bodyDiv w:val="1"/>
      <w:marLeft w:val="0"/>
      <w:marRight w:val="0"/>
      <w:marTop w:val="0"/>
      <w:marBottom w:val="0"/>
      <w:divBdr>
        <w:top w:val="none" w:sz="0" w:space="0" w:color="auto"/>
        <w:left w:val="none" w:sz="0" w:space="0" w:color="auto"/>
        <w:bottom w:val="none" w:sz="0" w:space="0" w:color="auto"/>
        <w:right w:val="none" w:sz="0" w:space="0" w:color="auto"/>
      </w:divBdr>
    </w:div>
    <w:div w:id="692609332">
      <w:bodyDiv w:val="1"/>
      <w:marLeft w:val="0"/>
      <w:marRight w:val="0"/>
      <w:marTop w:val="0"/>
      <w:marBottom w:val="0"/>
      <w:divBdr>
        <w:top w:val="none" w:sz="0" w:space="0" w:color="auto"/>
        <w:left w:val="none" w:sz="0" w:space="0" w:color="auto"/>
        <w:bottom w:val="none" w:sz="0" w:space="0" w:color="auto"/>
        <w:right w:val="none" w:sz="0" w:space="0" w:color="auto"/>
      </w:divBdr>
    </w:div>
    <w:div w:id="713234010">
      <w:bodyDiv w:val="1"/>
      <w:marLeft w:val="0"/>
      <w:marRight w:val="0"/>
      <w:marTop w:val="0"/>
      <w:marBottom w:val="0"/>
      <w:divBdr>
        <w:top w:val="none" w:sz="0" w:space="0" w:color="auto"/>
        <w:left w:val="none" w:sz="0" w:space="0" w:color="auto"/>
        <w:bottom w:val="none" w:sz="0" w:space="0" w:color="auto"/>
        <w:right w:val="none" w:sz="0" w:space="0" w:color="auto"/>
      </w:divBdr>
    </w:div>
    <w:div w:id="716009439">
      <w:bodyDiv w:val="1"/>
      <w:marLeft w:val="0"/>
      <w:marRight w:val="0"/>
      <w:marTop w:val="0"/>
      <w:marBottom w:val="0"/>
      <w:divBdr>
        <w:top w:val="none" w:sz="0" w:space="0" w:color="auto"/>
        <w:left w:val="none" w:sz="0" w:space="0" w:color="auto"/>
        <w:bottom w:val="none" w:sz="0" w:space="0" w:color="auto"/>
        <w:right w:val="none" w:sz="0" w:space="0" w:color="auto"/>
      </w:divBdr>
    </w:div>
    <w:div w:id="721294559">
      <w:bodyDiv w:val="1"/>
      <w:marLeft w:val="0"/>
      <w:marRight w:val="0"/>
      <w:marTop w:val="0"/>
      <w:marBottom w:val="0"/>
      <w:divBdr>
        <w:top w:val="none" w:sz="0" w:space="0" w:color="auto"/>
        <w:left w:val="none" w:sz="0" w:space="0" w:color="auto"/>
        <w:bottom w:val="none" w:sz="0" w:space="0" w:color="auto"/>
        <w:right w:val="none" w:sz="0" w:space="0" w:color="auto"/>
      </w:divBdr>
    </w:div>
    <w:div w:id="726147222">
      <w:bodyDiv w:val="1"/>
      <w:marLeft w:val="0"/>
      <w:marRight w:val="0"/>
      <w:marTop w:val="0"/>
      <w:marBottom w:val="0"/>
      <w:divBdr>
        <w:top w:val="none" w:sz="0" w:space="0" w:color="auto"/>
        <w:left w:val="none" w:sz="0" w:space="0" w:color="auto"/>
        <w:bottom w:val="none" w:sz="0" w:space="0" w:color="auto"/>
        <w:right w:val="none" w:sz="0" w:space="0" w:color="auto"/>
      </w:divBdr>
    </w:div>
    <w:div w:id="728380922">
      <w:bodyDiv w:val="1"/>
      <w:marLeft w:val="0"/>
      <w:marRight w:val="0"/>
      <w:marTop w:val="0"/>
      <w:marBottom w:val="0"/>
      <w:divBdr>
        <w:top w:val="none" w:sz="0" w:space="0" w:color="auto"/>
        <w:left w:val="none" w:sz="0" w:space="0" w:color="auto"/>
        <w:bottom w:val="none" w:sz="0" w:space="0" w:color="auto"/>
        <w:right w:val="none" w:sz="0" w:space="0" w:color="auto"/>
      </w:divBdr>
    </w:div>
    <w:div w:id="732894920">
      <w:bodyDiv w:val="1"/>
      <w:marLeft w:val="0"/>
      <w:marRight w:val="0"/>
      <w:marTop w:val="0"/>
      <w:marBottom w:val="0"/>
      <w:divBdr>
        <w:top w:val="none" w:sz="0" w:space="0" w:color="auto"/>
        <w:left w:val="none" w:sz="0" w:space="0" w:color="auto"/>
        <w:bottom w:val="none" w:sz="0" w:space="0" w:color="auto"/>
        <w:right w:val="none" w:sz="0" w:space="0" w:color="auto"/>
      </w:divBdr>
    </w:div>
    <w:div w:id="743261411">
      <w:bodyDiv w:val="1"/>
      <w:marLeft w:val="0"/>
      <w:marRight w:val="0"/>
      <w:marTop w:val="0"/>
      <w:marBottom w:val="0"/>
      <w:divBdr>
        <w:top w:val="none" w:sz="0" w:space="0" w:color="auto"/>
        <w:left w:val="none" w:sz="0" w:space="0" w:color="auto"/>
        <w:bottom w:val="none" w:sz="0" w:space="0" w:color="auto"/>
        <w:right w:val="none" w:sz="0" w:space="0" w:color="auto"/>
      </w:divBdr>
    </w:div>
    <w:div w:id="746078375">
      <w:bodyDiv w:val="1"/>
      <w:marLeft w:val="0"/>
      <w:marRight w:val="0"/>
      <w:marTop w:val="0"/>
      <w:marBottom w:val="0"/>
      <w:divBdr>
        <w:top w:val="none" w:sz="0" w:space="0" w:color="auto"/>
        <w:left w:val="none" w:sz="0" w:space="0" w:color="auto"/>
        <w:bottom w:val="none" w:sz="0" w:space="0" w:color="auto"/>
        <w:right w:val="none" w:sz="0" w:space="0" w:color="auto"/>
      </w:divBdr>
    </w:div>
    <w:div w:id="746466197">
      <w:bodyDiv w:val="1"/>
      <w:marLeft w:val="0"/>
      <w:marRight w:val="0"/>
      <w:marTop w:val="0"/>
      <w:marBottom w:val="0"/>
      <w:divBdr>
        <w:top w:val="none" w:sz="0" w:space="0" w:color="auto"/>
        <w:left w:val="none" w:sz="0" w:space="0" w:color="auto"/>
        <w:bottom w:val="none" w:sz="0" w:space="0" w:color="auto"/>
        <w:right w:val="none" w:sz="0" w:space="0" w:color="auto"/>
      </w:divBdr>
    </w:div>
    <w:div w:id="748039921">
      <w:bodyDiv w:val="1"/>
      <w:marLeft w:val="0"/>
      <w:marRight w:val="0"/>
      <w:marTop w:val="0"/>
      <w:marBottom w:val="0"/>
      <w:divBdr>
        <w:top w:val="none" w:sz="0" w:space="0" w:color="auto"/>
        <w:left w:val="none" w:sz="0" w:space="0" w:color="auto"/>
        <w:bottom w:val="none" w:sz="0" w:space="0" w:color="auto"/>
        <w:right w:val="none" w:sz="0" w:space="0" w:color="auto"/>
      </w:divBdr>
    </w:div>
    <w:div w:id="752435804">
      <w:bodyDiv w:val="1"/>
      <w:marLeft w:val="0"/>
      <w:marRight w:val="0"/>
      <w:marTop w:val="0"/>
      <w:marBottom w:val="0"/>
      <w:divBdr>
        <w:top w:val="none" w:sz="0" w:space="0" w:color="auto"/>
        <w:left w:val="none" w:sz="0" w:space="0" w:color="auto"/>
        <w:bottom w:val="none" w:sz="0" w:space="0" w:color="auto"/>
        <w:right w:val="none" w:sz="0" w:space="0" w:color="auto"/>
      </w:divBdr>
    </w:div>
    <w:div w:id="759789137">
      <w:bodyDiv w:val="1"/>
      <w:marLeft w:val="0"/>
      <w:marRight w:val="0"/>
      <w:marTop w:val="0"/>
      <w:marBottom w:val="0"/>
      <w:divBdr>
        <w:top w:val="none" w:sz="0" w:space="0" w:color="auto"/>
        <w:left w:val="none" w:sz="0" w:space="0" w:color="auto"/>
        <w:bottom w:val="none" w:sz="0" w:space="0" w:color="auto"/>
        <w:right w:val="none" w:sz="0" w:space="0" w:color="auto"/>
      </w:divBdr>
    </w:div>
    <w:div w:id="763575153">
      <w:bodyDiv w:val="1"/>
      <w:marLeft w:val="0"/>
      <w:marRight w:val="0"/>
      <w:marTop w:val="0"/>
      <w:marBottom w:val="0"/>
      <w:divBdr>
        <w:top w:val="none" w:sz="0" w:space="0" w:color="auto"/>
        <w:left w:val="none" w:sz="0" w:space="0" w:color="auto"/>
        <w:bottom w:val="none" w:sz="0" w:space="0" w:color="auto"/>
        <w:right w:val="none" w:sz="0" w:space="0" w:color="auto"/>
      </w:divBdr>
    </w:div>
    <w:div w:id="764230255">
      <w:bodyDiv w:val="1"/>
      <w:marLeft w:val="0"/>
      <w:marRight w:val="0"/>
      <w:marTop w:val="0"/>
      <w:marBottom w:val="0"/>
      <w:divBdr>
        <w:top w:val="none" w:sz="0" w:space="0" w:color="auto"/>
        <w:left w:val="none" w:sz="0" w:space="0" w:color="auto"/>
        <w:bottom w:val="none" w:sz="0" w:space="0" w:color="auto"/>
        <w:right w:val="none" w:sz="0" w:space="0" w:color="auto"/>
      </w:divBdr>
    </w:div>
    <w:div w:id="772091935">
      <w:bodyDiv w:val="1"/>
      <w:marLeft w:val="0"/>
      <w:marRight w:val="0"/>
      <w:marTop w:val="0"/>
      <w:marBottom w:val="0"/>
      <w:divBdr>
        <w:top w:val="none" w:sz="0" w:space="0" w:color="auto"/>
        <w:left w:val="none" w:sz="0" w:space="0" w:color="auto"/>
        <w:bottom w:val="none" w:sz="0" w:space="0" w:color="auto"/>
        <w:right w:val="none" w:sz="0" w:space="0" w:color="auto"/>
      </w:divBdr>
    </w:div>
    <w:div w:id="773400912">
      <w:bodyDiv w:val="1"/>
      <w:marLeft w:val="0"/>
      <w:marRight w:val="0"/>
      <w:marTop w:val="0"/>
      <w:marBottom w:val="0"/>
      <w:divBdr>
        <w:top w:val="none" w:sz="0" w:space="0" w:color="auto"/>
        <w:left w:val="none" w:sz="0" w:space="0" w:color="auto"/>
        <w:bottom w:val="none" w:sz="0" w:space="0" w:color="auto"/>
        <w:right w:val="none" w:sz="0" w:space="0" w:color="auto"/>
      </w:divBdr>
    </w:div>
    <w:div w:id="777287478">
      <w:bodyDiv w:val="1"/>
      <w:marLeft w:val="0"/>
      <w:marRight w:val="0"/>
      <w:marTop w:val="0"/>
      <w:marBottom w:val="0"/>
      <w:divBdr>
        <w:top w:val="none" w:sz="0" w:space="0" w:color="auto"/>
        <w:left w:val="none" w:sz="0" w:space="0" w:color="auto"/>
        <w:bottom w:val="none" w:sz="0" w:space="0" w:color="auto"/>
        <w:right w:val="none" w:sz="0" w:space="0" w:color="auto"/>
      </w:divBdr>
    </w:div>
    <w:div w:id="780152675">
      <w:bodyDiv w:val="1"/>
      <w:marLeft w:val="0"/>
      <w:marRight w:val="0"/>
      <w:marTop w:val="0"/>
      <w:marBottom w:val="0"/>
      <w:divBdr>
        <w:top w:val="none" w:sz="0" w:space="0" w:color="auto"/>
        <w:left w:val="none" w:sz="0" w:space="0" w:color="auto"/>
        <w:bottom w:val="none" w:sz="0" w:space="0" w:color="auto"/>
        <w:right w:val="none" w:sz="0" w:space="0" w:color="auto"/>
      </w:divBdr>
    </w:div>
    <w:div w:id="788662721">
      <w:bodyDiv w:val="1"/>
      <w:marLeft w:val="0"/>
      <w:marRight w:val="0"/>
      <w:marTop w:val="0"/>
      <w:marBottom w:val="0"/>
      <w:divBdr>
        <w:top w:val="none" w:sz="0" w:space="0" w:color="auto"/>
        <w:left w:val="none" w:sz="0" w:space="0" w:color="auto"/>
        <w:bottom w:val="none" w:sz="0" w:space="0" w:color="auto"/>
        <w:right w:val="none" w:sz="0" w:space="0" w:color="auto"/>
      </w:divBdr>
    </w:div>
    <w:div w:id="790779955">
      <w:bodyDiv w:val="1"/>
      <w:marLeft w:val="0"/>
      <w:marRight w:val="0"/>
      <w:marTop w:val="0"/>
      <w:marBottom w:val="0"/>
      <w:divBdr>
        <w:top w:val="none" w:sz="0" w:space="0" w:color="auto"/>
        <w:left w:val="none" w:sz="0" w:space="0" w:color="auto"/>
        <w:bottom w:val="none" w:sz="0" w:space="0" w:color="auto"/>
        <w:right w:val="none" w:sz="0" w:space="0" w:color="auto"/>
      </w:divBdr>
    </w:div>
    <w:div w:id="792985736">
      <w:bodyDiv w:val="1"/>
      <w:marLeft w:val="0"/>
      <w:marRight w:val="0"/>
      <w:marTop w:val="0"/>
      <w:marBottom w:val="0"/>
      <w:divBdr>
        <w:top w:val="none" w:sz="0" w:space="0" w:color="auto"/>
        <w:left w:val="none" w:sz="0" w:space="0" w:color="auto"/>
        <w:bottom w:val="none" w:sz="0" w:space="0" w:color="auto"/>
        <w:right w:val="none" w:sz="0" w:space="0" w:color="auto"/>
      </w:divBdr>
    </w:div>
    <w:div w:id="793904827">
      <w:bodyDiv w:val="1"/>
      <w:marLeft w:val="0"/>
      <w:marRight w:val="0"/>
      <w:marTop w:val="0"/>
      <w:marBottom w:val="0"/>
      <w:divBdr>
        <w:top w:val="none" w:sz="0" w:space="0" w:color="auto"/>
        <w:left w:val="none" w:sz="0" w:space="0" w:color="auto"/>
        <w:bottom w:val="none" w:sz="0" w:space="0" w:color="auto"/>
        <w:right w:val="none" w:sz="0" w:space="0" w:color="auto"/>
      </w:divBdr>
    </w:div>
    <w:div w:id="797407260">
      <w:bodyDiv w:val="1"/>
      <w:marLeft w:val="0"/>
      <w:marRight w:val="0"/>
      <w:marTop w:val="0"/>
      <w:marBottom w:val="0"/>
      <w:divBdr>
        <w:top w:val="none" w:sz="0" w:space="0" w:color="auto"/>
        <w:left w:val="none" w:sz="0" w:space="0" w:color="auto"/>
        <w:bottom w:val="none" w:sz="0" w:space="0" w:color="auto"/>
        <w:right w:val="none" w:sz="0" w:space="0" w:color="auto"/>
      </w:divBdr>
    </w:div>
    <w:div w:id="804465386">
      <w:bodyDiv w:val="1"/>
      <w:marLeft w:val="0"/>
      <w:marRight w:val="0"/>
      <w:marTop w:val="0"/>
      <w:marBottom w:val="0"/>
      <w:divBdr>
        <w:top w:val="none" w:sz="0" w:space="0" w:color="auto"/>
        <w:left w:val="none" w:sz="0" w:space="0" w:color="auto"/>
        <w:bottom w:val="none" w:sz="0" w:space="0" w:color="auto"/>
        <w:right w:val="none" w:sz="0" w:space="0" w:color="auto"/>
      </w:divBdr>
    </w:div>
    <w:div w:id="810556057">
      <w:bodyDiv w:val="1"/>
      <w:marLeft w:val="0"/>
      <w:marRight w:val="0"/>
      <w:marTop w:val="0"/>
      <w:marBottom w:val="0"/>
      <w:divBdr>
        <w:top w:val="none" w:sz="0" w:space="0" w:color="auto"/>
        <w:left w:val="none" w:sz="0" w:space="0" w:color="auto"/>
        <w:bottom w:val="none" w:sz="0" w:space="0" w:color="auto"/>
        <w:right w:val="none" w:sz="0" w:space="0" w:color="auto"/>
      </w:divBdr>
    </w:div>
    <w:div w:id="810832217">
      <w:bodyDiv w:val="1"/>
      <w:marLeft w:val="0"/>
      <w:marRight w:val="0"/>
      <w:marTop w:val="0"/>
      <w:marBottom w:val="0"/>
      <w:divBdr>
        <w:top w:val="none" w:sz="0" w:space="0" w:color="auto"/>
        <w:left w:val="none" w:sz="0" w:space="0" w:color="auto"/>
        <w:bottom w:val="none" w:sz="0" w:space="0" w:color="auto"/>
        <w:right w:val="none" w:sz="0" w:space="0" w:color="auto"/>
      </w:divBdr>
    </w:div>
    <w:div w:id="814028157">
      <w:bodyDiv w:val="1"/>
      <w:marLeft w:val="0"/>
      <w:marRight w:val="0"/>
      <w:marTop w:val="0"/>
      <w:marBottom w:val="0"/>
      <w:divBdr>
        <w:top w:val="none" w:sz="0" w:space="0" w:color="auto"/>
        <w:left w:val="none" w:sz="0" w:space="0" w:color="auto"/>
        <w:bottom w:val="none" w:sz="0" w:space="0" w:color="auto"/>
        <w:right w:val="none" w:sz="0" w:space="0" w:color="auto"/>
      </w:divBdr>
    </w:div>
    <w:div w:id="819658958">
      <w:bodyDiv w:val="1"/>
      <w:marLeft w:val="0"/>
      <w:marRight w:val="0"/>
      <w:marTop w:val="0"/>
      <w:marBottom w:val="0"/>
      <w:divBdr>
        <w:top w:val="none" w:sz="0" w:space="0" w:color="auto"/>
        <w:left w:val="none" w:sz="0" w:space="0" w:color="auto"/>
        <w:bottom w:val="none" w:sz="0" w:space="0" w:color="auto"/>
        <w:right w:val="none" w:sz="0" w:space="0" w:color="auto"/>
      </w:divBdr>
    </w:div>
    <w:div w:id="821850135">
      <w:bodyDiv w:val="1"/>
      <w:marLeft w:val="0"/>
      <w:marRight w:val="0"/>
      <w:marTop w:val="0"/>
      <w:marBottom w:val="0"/>
      <w:divBdr>
        <w:top w:val="none" w:sz="0" w:space="0" w:color="auto"/>
        <w:left w:val="none" w:sz="0" w:space="0" w:color="auto"/>
        <w:bottom w:val="none" w:sz="0" w:space="0" w:color="auto"/>
        <w:right w:val="none" w:sz="0" w:space="0" w:color="auto"/>
      </w:divBdr>
    </w:div>
    <w:div w:id="827667434">
      <w:bodyDiv w:val="1"/>
      <w:marLeft w:val="0"/>
      <w:marRight w:val="0"/>
      <w:marTop w:val="0"/>
      <w:marBottom w:val="0"/>
      <w:divBdr>
        <w:top w:val="none" w:sz="0" w:space="0" w:color="auto"/>
        <w:left w:val="none" w:sz="0" w:space="0" w:color="auto"/>
        <w:bottom w:val="none" w:sz="0" w:space="0" w:color="auto"/>
        <w:right w:val="none" w:sz="0" w:space="0" w:color="auto"/>
      </w:divBdr>
    </w:div>
    <w:div w:id="829563711">
      <w:bodyDiv w:val="1"/>
      <w:marLeft w:val="0"/>
      <w:marRight w:val="0"/>
      <w:marTop w:val="0"/>
      <w:marBottom w:val="0"/>
      <w:divBdr>
        <w:top w:val="none" w:sz="0" w:space="0" w:color="auto"/>
        <w:left w:val="none" w:sz="0" w:space="0" w:color="auto"/>
        <w:bottom w:val="none" w:sz="0" w:space="0" w:color="auto"/>
        <w:right w:val="none" w:sz="0" w:space="0" w:color="auto"/>
      </w:divBdr>
    </w:div>
    <w:div w:id="830293134">
      <w:bodyDiv w:val="1"/>
      <w:marLeft w:val="0"/>
      <w:marRight w:val="0"/>
      <w:marTop w:val="0"/>
      <w:marBottom w:val="0"/>
      <w:divBdr>
        <w:top w:val="none" w:sz="0" w:space="0" w:color="auto"/>
        <w:left w:val="none" w:sz="0" w:space="0" w:color="auto"/>
        <w:bottom w:val="none" w:sz="0" w:space="0" w:color="auto"/>
        <w:right w:val="none" w:sz="0" w:space="0" w:color="auto"/>
      </w:divBdr>
    </w:div>
    <w:div w:id="833684744">
      <w:bodyDiv w:val="1"/>
      <w:marLeft w:val="0"/>
      <w:marRight w:val="0"/>
      <w:marTop w:val="0"/>
      <w:marBottom w:val="0"/>
      <w:divBdr>
        <w:top w:val="none" w:sz="0" w:space="0" w:color="auto"/>
        <w:left w:val="none" w:sz="0" w:space="0" w:color="auto"/>
        <w:bottom w:val="none" w:sz="0" w:space="0" w:color="auto"/>
        <w:right w:val="none" w:sz="0" w:space="0" w:color="auto"/>
      </w:divBdr>
    </w:div>
    <w:div w:id="834343916">
      <w:bodyDiv w:val="1"/>
      <w:marLeft w:val="0"/>
      <w:marRight w:val="0"/>
      <w:marTop w:val="0"/>
      <w:marBottom w:val="0"/>
      <w:divBdr>
        <w:top w:val="none" w:sz="0" w:space="0" w:color="auto"/>
        <w:left w:val="none" w:sz="0" w:space="0" w:color="auto"/>
        <w:bottom w:val="none" w:sz="0" w:space="0" w:color="auto"/>
        <w:right w:val="none" w:sz="0" w:space="0" w:color="auto"/>
      </w:divBdr>
    </w:div>
    <w:div w:id="834612362">
      <w:bodyDiv w:val="1"/>
      <w:marLeft w:val="0"/>
      <w:marRight w:val="0"/>
      <w:marTop w:val="0"/>
      <w:marBottom w:val="0"/>
      <w:divBdr>
        <w:top w:val="none" w:sz="0" w:space="0" w:color="auto"/>
        <w:left w:val="none" w:sz="0" w:space="0" w:color="auto"/>
        <w:bottom w:val="none" w:sz="0" w:space="0" w:color="auto"/>
        <w:right w:val="none" w:sz="0" w:space="0" w:color="auto"/>
      </w:divBdr>
    </w:div>
    <w:div w:id="838424551">
      <w:bodyDiv w:val="1"/>
      <w:marLeft w:val="0"/>
      <w:marRight w:val="0"/>
      <w:marTop w:val="0"/>
      <w:marBottom w:val="0"/>
      <w:divBdr>
        <w:top w:val="none" w:sz="0" w:space="0" w:color="auto"/>
        <w:left w:val="none" w:sz="0" w:space="0" w:color="auto"/>
        <w:bottom w:val="none" w:sz="0" w:space="0" w:color="auto"/>
        <w:right w:val="none" w:sz="0" w:space="0" w:color="auto"/>
      </w:divBdr>
    </w:div>
    <w:div w:id="846597865">
      <w:bodyDiv w:val="1"/>
      <w:marLeft w:val="0"/>
      <w:marRight w:val="0"/>
      <w:marTop w:val="0"/>
      <w:marBottom w:val="0"/>
      <w:divBdr>
        <w:top w:val="none" w:sz="0" w:space="0" w:color="auto"/>
        <w:left w:val="none" w:sz="0" w:space="0" w:color="auto"/>
        <w:bottom w:val="none" w:sz="0" w:space="0" w:color="auto"/>
        <w:right w:val="none" w:sz="0" w:space="0" w:color="auto"/>
      </w:divBdr>
    </w:div>
    <w:div w:id="849297688">
      <w:bodyDiv w:val="1"/>
      <w:marLeft w:val="0"/>
      <w:marRight w:val="0"/>
      <w:marTop w:val="0"/>
      <w:marBottom w:val="0"/>
      <w:divBdr>
        <w:top w:val="none" w:sz="0" w:space="0" w:color="auto"/>
        <w:left w:val="none" w:sz="0" w:space="0" w:color="auto"/>
        <w:bottom w:val="none" w:sz="0" w:space="0" w:color="auto"/>
        <w:right w:val="none" w:sz="0" w:space="0" w:color="auto"/>
      </w:divBdr>
    </w:div>
    <w:div w:id="854535221">
      <w:bodyDiv w:val="1"/>
      <w:marLeft w:val="0"/>
      <w:marRight w:val="0"/>
      <w:marTop w:val="0"/>
      <w:marBottom w:val="0"/>
      <w:divBdr>
        <w:top w:val="none" w:sz="0" w:space="0" w:color="auto"/>
        <w:left w:val="none" w:sz="0" w:space="0" w:color="auto"/>
        <w:bottom w:val="none" w:sz="0" w:space="0" w:color="auto"/>
        <w:right w:val="none" w:sz="0" w:space="0" w:color="auto"/>
      </w:divBdr>
    </w:div>
    <w:div w:id="860432032">
      <w:bodyDiv w:val="1"/>
      <w:marLeft w:val="0"/>
      <w:marRight w:val="0"/>
      <w:marTop w:val="0"/>
      <w:marBottom w:val="0"/>
      <w:divBdr>
        <w:top w:val="none" w:sz="0" w:space="0" w:color="auto"/>
        <w:left w:val="none" w:sz="0" w:space="0" w:color="auto"/>
        <w:bottom w:val="none" w:sz="0" w:space="0" w:color="auto"/>
        <w:right w:val="none" w:sz="0" w:space="0" w:color="auto"/>
      </w:divBdr>
    </w:div>
    <w:div w:id="861669710">
      <w:bodyDiv w:val="1"/>
      <w:marLeft w:val="0"/>
      <w:marRight w:val="0"/>
      <w:marTop w:val="0"/>
      <w:marBottom w:val="0"/>
      <w:divBdr>
        <w:top w:val="none" w:sz="0" w:space="0" w:color="auto"/>
        <w:left w:val="none" w:sz="0" w:space="0" w:color="auto"/>
        <w:bottom w:val="none" w:sz="0" w:space="0" w:color="auto"/>
        <w:right w:val="none" w:sz="0" w:space="0" w:color="auto"/>
      </w:divBdr>
    </w:div>
    <w:div w:id="862742158">
      <w:bodyDiv w:val="1"/>
      <w:marLeft w:val="0"/>
      <w:marRight w:val="0"/>
      <w:marTop w:val="0"/>
      <w:marBottom w:val="0"/>
      <w:divBdr>
        <w:top w:val="none" w:sz="0" w:space="0" w:color="auto"/>
        <w:left w:val="none" w:sz="0" w:space="0" w:color="auto"/>
        <w:bottom w:val="none" w:sz="0" w:space="0" w:color="auto"/>
        <w:right w:val="none" w:sz="0" w:space="0" w:color="auto"/>
      </w:divBdr>
    </w:div>
    <w:div w:id="869144060">
      <w:bodyDiv w:val="1"/>
      <w:marLeft w:val="0"/>
      <w:marRight w:val="0"/>
      <w:marTop w:val="0"/>
      <w:marBottom w:val="0"/>
      <w:divBdr>
        <w:top w:val="none" w:sz="0" w:space="0" w:color="auto"/>
        <w:left w:val="none" w:sz="0" w:space="0" w:color="auto"/>
        <w:bottom w:val="none" w:sz="0" w:space="0" w:color="auto"/>
        <w:right w:val="none" w:sz="0" w:space="0" w:color="auto"/>
      </w:divBdr>
    </w:div>
    <w:div w:id="869756633">
      <w:bodyDiv w:val="1"/>
      <w:marLeft w:val="0"/>
      <w:marRight w:val="0"/>
      <w:marTop w:val="0"/>
      <w:marBottom w:val="0"/>
      <w:divBdr>
        <w:top w:val="none" w:sz="0" w:space="0" w:color="auto"/>
        <w:left w:val="none" w:sz="0" w:space="0" w:color="auto"/>
        <w:bottom w:val="none" w:sz="0" w:space="0" w:color="auto"/>
        <w:right w:val="none" w:sz="0" w:space="0" w:color="auto"/>
      </w:divBdr>
    </w:div>
    <w:div w:id="872771840">
      <w:bodyDiv w:val="1"/>
      <w:marLeft w:val="0"/>
      <w:marRight w:val="0"/>
      <w:marTop w:val="0"/>
      <w:marBottom w:val="0"/>
      <w:divBdr>
        <w:top w:val="none" w:sz="0" w:space="0" w:color="auto"/>
        <w:left w:val="none" w:sz="0" w:space="0" w:color="auto"/>
        <w:bottom w:val="none" w:sz="0" w:space="0" w:color="auto"/>
        <w:right w:val="none" w:sz="0" w:space="0" w:color="auto"/>
      </w:divBdr>
    </w:div>
    <w:div w:id="876310061">
      <w:bodyDiv w:val="1"/>
      <w:marLeft w:val="0"/>
      <w:marRight w:val="0"/>
      <w:marTop w:val="0"/>
      <w:marBottom w:val="0"/>
      <w:divBdr>
        <w:top w:val="none" w:sz="0" w:space="0" w:color="auto"/>
        <w:left w:val="none" w:sz="0" w:space="0" w:color="auto"/>
        <w:bottom w:val="none" w:sz="0" w:space="0" w:color="auto"/>
        <w:right w:val="none" w:sz="0" w:space="0" w:color="auto"/>
      </w:divBdr>
    </w:div>
    <w:div w:id="884290071">
      <w:bodyDiv w:val="1"/>
      <w:marLeft w:val="0"/>
      <w:marRight w:val="0"/>
      <w:marTop w:val="0"/>
      <w:marBottom w:val="0"/>
      <w:divBdr>
        <w:top w:val="none" w:sz="0" w:space="0" w:color="auto"/>
        <w:left w:val="none" w:sz="0" w:space="0" w:color="auto"/>
        <w:bottom w:val="none" w:sz="0" w:space="0" w:color="auto"/>
        <w:right w:val="none" w:sz="0" w:space="0" w:color="auto"/>
      </w:divBdr>
    </w:div>
    <w:div w:id="884758477">
      <w:bodyDiv w:val="1"/>
      <w:marLeft w:val="0"/>
      <w:marRight w:val="0"/>
      <w:marTop w:val="0"/>
      <w:marBottom w:val="0"/>
      <w:divBdr>
        <w:top w:val="none" w:sz="0" w:space="0" w:color="auto"/>
        <w:left w:val="none" w:sz="0" w:space="0" w:color="auto"/>
        <w:bottom w:val="none" w:sz="0" w:space="0" w:color="auto"/>
        <w:right w:val="none" w:sz="0" w:space="0" w:color="auto"/>
      </w:divBdr>
    </w:div>
    <w:div w:id="888372785">
      <w:bodyDiv w:val="1"/>
      <w:marLeft w:val="0"/>
      <w:marRight w:val="0"/>
      <w:marTop w:val="0"/>
      <w:marBottom w:val="0"/>
      <w:divBdr>
        <w:top w:val="none" w:sz="0" w:space="0" w:color="auto"/>
        <w:left w:val="none" w:sz="0" w:space="0" w:color="auto"/>
        <w:bottom w:val="none" w:sz="0" w:space="0" w:color="auto"/>
        <w:right w:val="none" w:sz="0" w:space="0" w:color="auto"/>
      </w:divBdr>
    </w:div>
    <w:div w:id="894045505">
      <w:bodyDiv w:val="1"/>
      <w:marLeft w:val="0"/>
      <w:marRight w:val="0"/>
      <w:marTop w:val="0"/>
      <w:marBottom w:val="0"/>
      <w:divBdr>
        <w:top w:val="none" w:sz="0" w:space="0" w:color="auto"/>
        <w:left w:val="none" w:sz="0" w:space="0" w:color="auto"/>
        <w:bottom w:val="none" w:sz="0" w:space="0" w:color="auto"/>
        <w:right w:val="none" w:sz="0" w:space="0" w:color="auto"/>
      </w:divBdr>
    </w:div>
    <w:div w:id="900792768">
      <w:bodyDiv w:val="1"/>
      <w:marLeft w:val="0"/>
      <w:marRight w:val="0"/>
      <w:marTop w:val="0"/>
      <w:marBottom w:val="0"/>
      <w:divBdr>
        <w:top w:val="none" w:sz="0" w:space="0" w:color="auto"/>
        <w:left w:val="none" w:sz="0" w:space="0" w:color="auto"/>
        <w:bottom w:val="none" w:sz="0" w:space="0" w:color="auto"/>
        <w:right w:val="none" w:sz="0" w:space="0" w:color="auto"/>
      </w:divBdr>
    </w:div>
    <w:div w:id="901136521">
      <w:bodyDiv w:val="1"/>
      <w:marLeft w:val="0"/>
      <w:marRight w:val="0"/>
      <w:marTop w:val="0"/>
      <w:marBottom w:val="0"/>
      <w:divBdr>
        <w:top w:val="none" w:sz="0" w:space="0" w:color="auto"/>
        <w:left w:val="none" w:sz="0" w:space="0" w:color="auto"/>
        <w:bottom w:val="none" w:sz="0" w:space="0" w:color="auto"/>
        <w:right w:val="none" w:sz="0" w:space="0" w:color="auto"/>
      </w:divBdr>
    </w:div>
    <w:div w:id="902906817">
      <w:bodyDiv w:val="1"/>
      <w:marLeft w:val="0"/>
      <w:marRight w:val="0"/>
      <w:marTop w:val="0"/>
      <w:marBottom w:val="0"/>
      <w:divBdr>
        <w:top w:val="none" w:sz="0" w:space="0" w:color="auto"/>
        <w:left w:val="none" w:sz="0" w:space="0" w:color="auto"/>
        <w:bottom w:val="none" w:sz="0" w:space="0" w:color="auto"/>
        <w:right w:val="none" w:sz="0" w:space="0" w:color="auto"/>
      </w:divBdr>
    </w:div>
    <w:div w:id="905841545">
      <w:bodyDiv w:val="1"/>
      <w:marLeft w:val="0"/>
      <w:marRight w:val="0"/>
      <w:marTop w:val="0"/>
      <w:marBottom w:val="0"/>
      <w:divBdr>
        <w:top w:val="none" w:sz="0" w:space="0" w:color="auto"/>
        <w:left w:val="none" w:sz="0" w:space="0" w:color="auto"/>
        <w:bottom w:val="none" w:sz="0" w:space="0" w:color="auto"/>
        <w:right w:val="none" w:sz="0" w:space="0" w:color="auto"/>
      </w:divBdr>
    </w:div>
    <w:div w:id="910232766">
      <w:bodyDiv w:val="1"/>
      <w:marLeft w:val="0"/>
      <w:marRight w:val="0"/>
      <w:marTop w:val="0"/>
      <w:marBottom w:val="0"/>
      <w:divBdr>
        <w:top w:val="none" w:sz="0" w:space="0" w:color="auto"/>
        <w:left w:val="none" w:sz="0" w:space="0" w:color="auto"/>
        <w:bottom w:val="none" w:sz="0" w:space="0" w:color="auto"/>
        <w:right w:val="none" w:sz="0" w:space="0" w:color="auto"/>
      </w:divBdr>
    </w:div>
    <w:div w:id="915671794">
      <w:bodyDiv w:val="1"/>
      <w:marLeft w:val="0"/>
      <w:marRight w:val="0"/>
      <w:marTop w:val="0"/>
      <w:marBottom w:val="0"/>
      <w:divBdr>
        <w:top w:val="none" w:sz="0" w:space="0" w:color="auto"/>
        <w:left w:val="none" w:sz="0" w:space="0" w:color="auto"/>
        <w:bottom w:val="none" w:sz="0" w:space="0" w:color="auto"/>
        <w:right w:val="none" w:sz="0" w:space="0" w:color="auto"/>
      </w:divBdr>
    </w:div>
    <w:div w:id="917405230">
      <w:bodyDiv w:val="1"/>
      <w:marLeft w:val="0"/>
      <w:marRight w:val="0"/>
      <w:marTop w:val="0"/>
      <w:marBottom w:val="0"/>
      <w:divBdr>
        <w:top w:val="none" w:sz="0" w:space="0" w:color="auto"/>
        <w:left w:val="none" w:sz="0" w:space="0" w:color="auto"/>
        <w:bottom w:val="none" w:sz="0" w:space="0" w:color="auto"/>
        <w:right w:val="none" w:sz="0" w:space="0" w:color="auto"/>
      </w:divBdr>
    </w:div>
    <w:div w:id="917709575">
      <w:bodyDiv w:val="1"/>
      <w:marLeft w:val="0"/>
      <w:marRight w:val="0"/>
      <w:marTop w:val="0"/>
      <w:marBottom w:val="0"/>
      <w:divBdr>
        <w:top w:val="none" w:sz="0" w:space="0" w:color="auto"/>
        <w:left w:val="none" w:sz="0" w:space="0" w:color="auto"/>
        <w:bottom w:val="none" w:sz="0" w:space="0" w:color="auto"/>
        <w:right w:val="none" w:sz="0" w:space="0" w:color="auto"/>
      </w:divBdr>
    </w:div>
    <w:div w:id="918487891">
      <w:bodyDiv w:val="1"/>
      <w:marLeft w:val="0"/>
      <w:marRight w:val="0"/>
      <w:marTop w:val="0"/>
      <w:marBottom w:val="0"/>
      <w:divBdr>
        <w:top w:val="none" w:sz="0" w:space="0" w:color="auto"/>
        <w:left w:val="none" w:sz="0" w:space="0" w:color="auto"/>
        <w:bottom w:val="none" w:sz="0" w:space="0" w:color="auto"/>
        <w:right w:val="none" w:sz="0" w:space="0" w:color="auto"/>
      </w:divBdr>
    </w:div>
    <w:div w:id="926116174">
      <w:bodyDiv w:val="1"/>
      <w:marLeft w:val="0"/>
      <w:marRight w:val="0"/>
      <w:marTop w:val="0"/>
      <w:marBottom w:val="0"/>
      <w:divBdr>
        <w:top w:val="none" w:sz="0" w:space="0" w:color="auto"/>
        <w:left w:val="none" w:sz="0" w:space="0" w:color="auto"/>
        <w:bottom w:val="none" w:sz="0" w:space="0" w:color="auto"/>
        <w:right w:val="none" w:sz="0" w:space="0" w:color="auto"/>
      </w:divBdr>
    </w:div>
    <w:div w:id="927152472">
      <w:bodyDiv w:val="1"/>
      <w:marLeft w:val="0"/>
      <w:marRight w:val="0"/>
      <w:marTop w:val="0"/>
      <w:marBottom w:val="0"/>
      <w:divBdr>
        <w:top w:val="none" w:sz="0" w:space="0" w:color="auto"/>
        <w:left w:val="none" w:sz="0" w:space="0" w:color="auto"/>
        <w:bottom w:val="none" w:sz="0" w:space="0" w:color="auto"/>
        <w:right w:val="none" w:sz="0" w:space="0" w:color="auto"/>
      </w:divBdr>
    </w:div>
    <w:div w:id="930048975">
      <w:bodyDiv w:val="1"/>
      <w:marLeft w:val="0"/>
      <w:marRight w:val="0"/>
      <w:marTop w:val="0"/>
      <w:marBottom w:val="0"/>
      <w:divBdr>
        <w:top w:val="none" w:sz="0" w:space="0" w:color="auto"/>
        <w:left w:val="none" w:sz="0" w:space="0" w:color="auto"/>
        <w:bottom w:val="none" w:sz="0" w:space="0" w:color="auto"/>
        <w:right w:val="none" w:sz="0" w:space="0" w:color="auto"/>
      </w:divBdr>
    </w:div>
    <w:div w:id="932401585">
      <w:bodyDiv w:val="1"/>
      <w:marLeft w:val="0"/>
      <w:marRight w:val="0"/>
      <w:marTop w:val="0"/>
      <w:marBottom w:val="0"/>
      <w:divBdr>
        <w:top w:val="none" w:sz="0" w:space="0" w:color="auto"/>
        <w:left w:val="none" w:sz="0" w:space="0" w:color="auto"/>
        <w:bottom w:val="none" w:sz="0" w:space="0" w:color="auto"/>
        <w:right w:val="none" w:sz="0" w:space="0" w:color="auto"/>
      </w:divBdr>
    </w:div>
    <w:div w:id="933510380">
      <w:bodyDiv w:val="1"/>
      <w:marLeft w:val="0"/>
      <w:marRight w:val="0"/>
      <w:marTop w:val="0"/>
      <w:marBottom w:val="0"/>
      <w:divBdr>
        <w:top w:val="none" w:sz="0" w:space="0" w:color="auto"/>
        <w:left w:val="none" w:sz="0" w:space="0" w:color="auto"/>
        <w:bottom w:val="none" w:sz="0" w:space="0" w:color="auto"/>
        <w:right w:val="none" w:sz="0" w:space="0" w:color="auto"/>
      </w:divBdr>
    </w:div>
    <w:div w:id="934365663">
      <w:bodyDiv w:val="1"/>
      <w:marLeft w:val="0"/>
      <w:marRight w:val="0"/>
      <w:marTop w:val="0"/>
      <w:marBottom w:val="0"/>
      <w:divBdr>
        <w:top w:val="none" w:sz="0" w:space="0" w:color="auto"/>
        <w:left w:val="none" w:sz="0" w:space="0" w:color="auto"/>
        <w:bottom w:val="none" w:sz="0" w:space="0" w:color="auto"/>
        <w:right w:val="none" w:sz="0" w:space="0" w:color="auto"/>
      </w:divBdr>
    </w:div>
    <w:div w:id="934552980">
      <w:bodyDiv w:val="1"/>
      <w:marLeft w:val="0"/>
      <w:marRight w:val="0"/>
      <w:marTop w:val="0"/>
      <w:marBottom w:val="0"/>
      <w:divBdr>
        <w:top w:val="none" w:sz="0" w:space="0" w:color="auto"/>
        <w:left w:val="none" w:sz="0" w:space="0" w:color="auto"/>
        <w:bottom w:val="none" w:sz="0" w:space="0" w:color="auto"/>
        <w:right w:val="none" w:sz="0" w:space="0" w:color="auto"/>
      </w:divBdr>
    </w:div>
    <w:div w:id="942960268">
      <w:bodyDiv w:val="1"/>
      <w:marLeft w:val="0"/>
      <w:marRight w:val="0"/>
      <w:marTop w:val="0"/>
      <w:marBottom w:val="0"/>
      <w:divBdr>
        <w:top w:val="none" w:sz="0" w:space="0" w:color="auto"/>
        <w:left w:val="none" w:sz="0" w:space="0" w:color="auto"/>
        <w:bottom w:val="none" w:sz="0" w:space="0" w:color="auto"/>
        <w:right w:val="none" w:sz="0" w:space="0" w:color="auto"/>
      </w:divBdr>
    </w:div>
    <w:div w:id="945313721">
      <w:bodyDiv w:val="1"/>
      <w:marLeft w:val="0"/>
      <w:marRight w:val="0"/>
      <w:marTop w:val="0"/>
      <w:marBottom w:val="0"/>
      <w:divBdr>
        <w:top w:val="none" w:sz="0" w:space="0" w:color="auto"/>
        <w:left w:val="none" w:sz="0" w:space="0" w:color="auto"/>
        <w:bottom w:val="none" w:sz="0" w:space="0" w:color="auto"/>
        <w:right w:val="none" w:sz="0" w:space="0" w:color="auto"/>
      </w:divBdr>
    </w:div>
    <w:div w:id="946621496">
      <w:bodyDiv w:val="1"/>
      <w:marLeft w:val="0"/>
      <w:marRight w:val="0"/>
      <w:marTop w:val="0"/>
      <w:marBottom w:val="0"/>
      <w:divBdr>
        <w:top w:val="none" w:sz="0" w:space="0" w:color="auto"/>
        <w:left w:val="none" w:sz="0" w:space="0" w:color="auto"/>
        <w:bottom w:val="none" w:sz="0" w:space="0" w:color="auto"/>
        <w:right w:val="none" w:sz="0" w:space="0" w:color="auto"/>
      </w:divBdr>
    </w:div>
    <w:div w:id="946884756">
      <w:bodyDiv w:val="1"/>
      <w:marLeft w:val="0"/>
      <w:marRight w:val="0"/>
      <w:marTop w:val="0"/>
      <w:marBottom w:val="0"/>
      <w:divBdr>
        <w:top w:val="none" w:sz="0" w:space="0" w:color="auto"/>
        <w:left w:val="none" w:sz="0" w:space="0" w:color="auto"/>
        <w:bottom w:val="none" w:sz="0" w:space="0" w:color="auto"/>
        <w:right w:val="none" w:sz="0" w:space="0" w:color="auto"/>
      </w:divBdr>
    </w:div>
    <w:div w:id="955216506">
      <w:bodyDiv w:val="1"/>
      <w:marLeft w:val="0"/>
      <w:marRight w:val="0"/>
      <w:marTop w:val="0"/>
      <w:marBottom w:val="0"/>
      <w:divBdr>
        <w:top w:val="none" w:sz="0" w:space="0" w:color="auto"/>
        <w:left w:val="none" w:sz="0" w:space="0" w:color="auto"/>
        <w:bottom w:val="none" w:sz="0" w:space="0" w:color="auto"/>
        <w:right w:val="none" w:sz="0" w:space="0" w:color="auto"/>
      </w:divBdr>
    </w:div>
    <w:div w:id="956789107">
      <w:bodyDiv w:val="1"/>
      <w:marLeft w:val="0"/>
      <w:marRight w:val="0"/>
      <w:marTop w:val="0"/>
      <w:marBottom w:val="0"/>
      <w:divBdr>
        <w:top w:val="none" w:sz="0" w:space="0" w:color="auto"/>
        <w:left w:val="none" w:sz="0" w:space="0" w:color="auto"/>
        <w:bottom w:val="none" w:sz="0" w:space="0" w:color="auto"/>
        <w:right w:val="none" w:sz="0" w:space="0" w:color="auto"/>
      </w:divBdr>
    </w:div>
    <w:div w:id="958147079">
      <w:bodyDiv w:val="1"/>
      <w:marLeft w:val="0"/>
      <w:marRight w:val="0"/>
      <w:marTop w:val="0"/>
      <w:marBottom w:val="0"/>
      <w:divBdr>
        <w:top w:val="none" w:sz="0" w:space="0" w:color="auto"/>
        <w:left w:val="none" w:sz="0" w:space="0" w:color="auto"/>
        <w:bottom w:val="none" w:sz="0" w:space="0" w:color="auto"/>
        <w:right w:val="none" w:sz="0" w:space="0" w:color="auto"/>
      </w:divBdr>
    </w:div>
    <w:div w:id="962419555">
      <w:bodyDiv w:val="1"/>
      <w:marLeft w:val="0"/>
      <w:marRight w:val="0"/>
      <w:marTop w:val="0"/>
      <w:marBottom w:val="0"/>
      <w:divBdr>
        <w:top w:val="none" w:sz="0" w:space="0" w:color="auto"/>
        <w:left w:val="none" w:sz="0" w:space="0" w:color="auto"/>
        <w:bottom w:val="none" w:sz="0" w:space="0" w:color="auto"/>
        <w:right w:val="none" w:sz="0" w:space="0" w:color="auto"/>
      </w:divBdr>
    </w:div>
    <w:div w:id="963314660">
      <w:bodyDiv w:val="1"/>
      <w:marLeft w:val="0"/>
      <w:marRight w:val="0"/>
      <w:marTop w:val="0"/>
      <w:marBottom w:val="0"/>
      <w:divBdr>
        <w:top w:val="none" w:sz="0" w:space="0" w:color="auto"/>
        <w:left w:val="none" w:sz="0" w:space="0" w:color="auto"/>
        <w:bottom w:val="none" w:sz="0" w:space="0" w:color="auto"/>
        <w:right w:val="none" w:sz="0" w:space="0" w:color="auto"/>
      </w:divBdr>
    </w:div>
    <w:div w:id="967589889">
      <w:bodyDiv w:val="1"/>
      <w:marLeft w:val="0"/>
      <w:marRight w:val="0"/>
      <w:marTop w:val="0"/>
      <w:marBottom w:val="0"/>
      <w:divBdr>
        <w:top w:val="none" w:sz="0" w:space="0" w:color="auto"/>
        <w:left w:val="none" w:sz="0" w:space="0" w:color="auto"/>
        <w:bottom w:val="none" w:sz="0" w:space="0" w:color="auto"/>
        <w:right w:val="none" w:sz="0" w:space="0" w:color="auto"/>
      </w:divBdr>
    </w:div>
    <w:div w:id="980185806">
      <w:bodyDiv w:val="1"/>
      <w:marLeft w:val="0"/>
      <w:marRight w:val="0"/>
      <w:marTop w:val="0"/>
      <w:marBottom w:val="0"/>
      <w:divBdr>
        <w:top w:val="none" w:sz="0" w:space="0" w:color="auto"/>
        <w:left w:val="none" w:sz="0" w:space="0" w:color="auto"/>
        <w:bottom w:val="none" w:sz="0" w:space="0" w:color="auto"/>
        <w:right w:val="none" w:sz="0" w:space="0" w:color="auto"/>
      </w:divBdr>
    </w:div>
    <w:div w:id="985622917">
      <w:bodyDiv w:val="1"/>
      <w:marLeft w:val="0"/>
      <w:marRight w:val="0"/>
      <w:marTop w:val="0"/>
      <w:marBottom w:val="0"/>
      <w:divBdr>
        <w:top w:val="none" w:sz="0" w:space="0" w:color="auto"/>
        <w:left w:val="none" w:sz="0" w:space="0" w:color="auto"/>
        <w:bottom w:val="none" w:sz="0" w:space="0" w:color="auto"/>
        <w:right w:val="none" w:sz="0" w:space="0" w:color="auto"/>
      </w:divBdr>
    </w:div>
    <w:div w:id="985668952">
      <w:bodyDiv w:val="1"/>
      <w:marLeft w:val="0"/>
      <w:marRight w:val="0"/>
      <w:marTop w:val="0"/>
      <w:marBottom w:val="0"/>
      <w:divBdr>
        <w:top w:val="none" w:sz="0" w:space="0" w:color="auto"/>
        <w:left w:val="none" w:sz="0" w:space="0" w:color="auto"/>
        <w:bottom w:val="none" w:sz="0" w:space="0" w:color="auto"/>
        <w:right w:val="none" w:sz="0" w:space="0" w:color="auto"/>
      </w:divBdr>
    </w:div>
    <w:div w:id="990447205">
      <w:bodyDiv w:val="1"/>
      <w:marLeft w:val="0"/>
      <w:marRight w:val="0"/>
      <w:marTop w:val="0"/>
      <w:marBottom w:val="0"/>
      <w:divBdr>
        <w:top w:val="none" w:sz="0" w:space="0" w:color="auto"/>
        <w:left w:val="none" w:sz="0" w:space="0" w:color="auto"/>
        <w:bottom w:val="none" w:sz="0" w:space="0" w:color="auto"/>
        <w:right w:val="none" w:sz="0" w:space="0" w:color="auto"/>
      </w:divBdr>
    </w:div>
    <w:div w:id="995840371">
      <w:bodyDiv w:val="1"/>
      <w:marLeft w:val="0"/>
      <w:marRight w:val="0"/>
      <w:marTop w:val="0"/>
      <w:marBottom w:val="0"/>
      <w:divBdr>
        <w:top w:val="none" w:sz="0" w:space="0" w:color="auto"/>
        <w:left w:val="none" w:sz="0" w:space="0" w:color="auto"/>
        <w:bottom w:val="none" w:sz="0" w:space="0" w:color="auto"/>
        <w:right w:val="none" w:sz="0" w:space="0" w:color="auto"/>
      </w:divBdr>
    </w:div>
    <w:div w:id="1000349125">
      <w:bodyDiv w:val="1"/>
      <w:marLeft w:val="0"/>
      <w:marRight w:val="0"/>
      <w:marTop w:val="0"/>
      <w:marBottom w:val="0"/>
      <w:divBdr>
        <w:top w:val="none" w:sz="0" w:space="0" w:color="auto"/>
        <w:left w:val="none" w:sz="0" w:space="0" w:color="auto"/>
        <w:bottom w:val="none" w:sz="0" w:space="0" w:color="auto"/>
        <w:right w:val="none" w:sz="0" w:space="0" w:color="auto"/>
      </w:divBdr>
    </w:div>
    <w:div w:id="1002781902">
      <w:bodyDiv w:val="1"/>
      <w:marLeft w:val="0"/>
      <w:marRight w:val="0"/>
      <w:marTop w:val="0"/>
      <w:marBottom w:val="0"/>
      <w:divBdr>
        <w:top w:val="none" w:sz="0" w:space="0" w:color="auto"/>
        <w:left w:val="none" w:sz="0" w:space="0" w:color="auto"/>
        <w:bottom w:val="none" w:sz="0" w:space="0" w:color="auto"/>
        <w:right w:val="none" w:sz="0" w:space="0" w:color="auto"/>
      </w:divBdr>
    </w:div>
    <w:div w:id="1005940096">
      <w:bodyDiv w:val="1"/>
      <w:marLeft w:val="0"/>
      <w:marRight w:val="0"/>
      <w:marTop w:val="0"/>
      <w:marBottom w:val="0"/>
      <w:divBdr>
        <w:top w:val="none" w:sz="0" w:space="0" w:color="auto"/>
        <w:left w:val="none" w:sz="0" w:space="0" w:color="auto"/>
        <w:bottom w:val="none" w:sz="0" w:space="0" w:color="auto"/>
        <w:right w:val="none" w:sz="0" w:space="0" w:color="auto"/>
      </w:divBdr>
    </w:div>
    <w:div w:id="1015422022">
      <w:bodyDiv w:val="1"/>
      <w:marLeft w:val="0"/>
      <w:marRight w:val="0"/>
      <w:marTop w:val="0"/>
      <w:marBottom w:val="0"/>
      <w:divBdr>
        <w:top w:val="none" w:sz="0" w:space="0" w:color="auto"/>
        <w:left w:val="none" w:sz="0" w:space="0" w:color="auto"/>
        <w:bottom w:val="none" w:sz="0" w:space="0" w:color="auto"/>
        <w:right w:val="none" w:sz="0" w:space="0" w:color="auto"/>
      </w:divBdr>
    </w:div>
    <w:div w:id="1019626714">
      <w:bodyDiv w:val="1"/>
      <w:marLeft w:val="0"/>
      <w:marRight w:val="0"/>
      <w:marTop w:val="0"/>
      <w:marBottom w:val="0"/>
      <w:divBdr>
        <w:top w:val="none" w:sz="0" w:space="0" w:color="auto"/>
        <w:left w:val="none" w:sz="0" w:space="0" w:color="auto"/>
        <w:bottom w:val="none" w:sz="0" w:space="0" w:color="auto"/>
        <w:right w:val="none" w:sz="0" w:space="0" w:color="auto"/>
      </w:divBdr>
    </w:div>
    <w:div w:id="1020156745">
      <w:bodyDiv w:val="1"/>
      <w:marLeft w:val="0"/>
      <w:marRight w:val="0"/>
      <w:marTop w:val="0"/>
      <w:marBottom w:val="0"/>
      <w:divBdr>
        <w:top w:val="none" w:sz="0" w:space="0" w:color="auto"/>
        <w:left w:val="none" w:sz="0" w:space="0" w:color="auto"/>
        <w:bottom w:val="none" w:sz="0" w:space="0" w:color="auto"/>
        <w:right w:val="none" w:sz="0" w:space="0" w:color="auto"/>
      </w:divBdr>
    </w:div>
    <w:div w:id="1020668627">
      <w:bodyDiv w:val="1"/>
      <w:marLeft w:val="0"/>
      <w:marRight w:val="0"/>
      <w:marTop w:val="0"/>
      <w:marBottom w:val="0"/>
      <w:divBdr>
        <w:top w:val="none" w:sz="0" w:space="0" w:color="auto"/>
        <w:left w:val="none" w:sz="0" w:space="0" w:color="auto"/>
        <w:bottom w:val="none" w:sz="0" w:space="0" w:color="auto"/>
        <w:right w:val="none" w:sz="0" w:space="0" w:color="auto"/>
      </w:divBdr>
    </w:div>
    <w:div w:id="1021248047">
      <w:bodyDiv w:val="1"/>
      <w:marLeft w:val="0"/>
      <w:marRight w:val="0"/>
      <w:marTop w:val="0"/>
      <w:marBottom w:val="0"/>
      <w:divBdr>
        <w:top w:val="none" w:sz="0" w:space="0" w:color="auto"/>
        <w:left w:val="none" w:sz="0" w:space="0" w:color="auto"/>
        <w:bottom w:val="none" w:sz="0" w:space="0" w:color="auto"/>
        <w:right w:val="none" w:sz="0" w:space="0" w:color="auto"/>
      </w:divBdr>
    </w:div>
    <w:div w:id="1027022501">
      <w:bodyDiv w:val="1"/>
      <w:marLeft w:val="0"/>
      <w:marRight w:val="0"/>
      <w:marTop w:val="0"/>
      <w:marBottom w:val="0"/>
      <w:divBdr>
        <w:top w:val="none" w:sz="0" w:space="0" w:color="auto"/>
        <w:left w:val="none" w:sz="0" w:space="0" w:color="auto"/>
        <w:bottom w:val="none" w:sz="0" w:space="0" w:color="auto"/>
        <w:right w:val="none" w:sz="0" w:space="0" w:color="auto"/>
      </w:divBdr>
    </w:div>
    <w:div w:id="1027220213">
      <w:bodyDiv w:val="1"/>
      <w:marLeft w:val="0"/>
      <w:marRight w:val="0"/>
      <w:marTop w:val="0"/>
      <w:marBottom w:val="0"/>
      <w:divBdr>
        <w:top w:val="none" w:sz="0" w:space="0" w:color="auto"/>
        <w:left w:val="none" w:sz="0" w:space="0" w:color="auto"/>
        <w:bottom w:val="none" w:sz="0" w:space="0" w:color="auto"/>
        <w:right w:val="none" w:sz="0" w:space="0" w:color="auto"/>
      </w:divBdr>
    </w:div>
    <w:div w:id="1033966085">
      <w:bodyDiv w:val="1"/>
      <w:marLeft w:val="0"/>
      <w:marRight w:val="0"/>
      <w:marTop w:val="0"/>
      <w:marBottom w:val="0"/>
      <w:divBdr>
        <w:top w:val="none" w:sz="0" w:space="0" w:color="auto"/>
        <w:left w:val="none" w:sz="0" w:space="0" w:color="auto"/>
        <w:bottom w:val="none" w:sz="0" w:space="0" w:color="auto"/>
        <w:right w:val="none" w:sz="0" w:space="0" w:color="auto"/>
      </w:divBdr>
    </w:div>
    <w:div w:id="1035079768">
      <w:bodyDiv w:val="1"/>
      <w:marLeft w:val="0"/>
      <w:marRight w:val="0"/>
      <w:marTop w:val="0"/>
      <w:marBottom w:val="0"/>
      <w:divBdr>
        <w:top w:val="none" w:sz="0" w:space="0" w:color="auto"/>
        <w:left w:val="none" w:sz="0" w:space="0" w:color="auto"/>
        <w:bottom w:val="none" w:sz="0" w:space="0" w:color="auto"/>
        <w:right w:val="none" w:sz="0" w:space="0" w:color="auto"/>
      </w:divBdr>
    </w:div>
    <w:div w:id="1040520695">
      <w:bodyDiv w:val="1"/>
      <w:marLeft w:val="0"/>
      <w:marRight w:val="0"/>
      <w:marTop w:val="0"/>
      <w:marBottom w:val="0"/>
      <w:divBdr>
        <w:top w:val="none" w:sz="0" w:space="0" w:color="auto"/>
        <w:left w:val="none" w:sz="0" w:space="0" w:color="auto"/>
        <w:bottom w:val="none" w:sz="0" w:space="0" w:color="auto"/>
        <w:right w:val="none" w:sz="0" w:space="0" w:color="auto"/>
      </w:divBdr>
    </w:div>
    <w:div w:id="1046294347">
      <w:bodyDiv w:val="1"/>
      <w:marLeft w:val="0"/>
      <w:marRight w:val="0"/>
      <w:marTop w:val="0"/>
      <w:marBottom w:val="0"/>
      <w:divBdr>
        <w:top w:val="none" w:sz="0" w:space="0" w:color="auto"/>
        <w:left w:val="none" w:sz="0" w:space="0" w:color="auto"/>
        <w:bottom w:val="none" w:sz="0" w:space="0" w:color="auto"/>
        <w:right w:val="none" w:sz="0" w:space="0" w:color="auto"/>
      </w:divBdr>
    </w:div>
    <w:div w:id="1050305100">
      <w:bodyDiv w:val="1"/>
      <w:marLeft w:val="0"/>
      <w:marRight w:val="0"/>
      <w:marTop w:val="0"/>
      <w:marBottom w:val="0"/>
      <w:divBdr>
        <w:top w:val="none" w:sz="0" w:space="0" w:color="auto"/>
        <w:left w:val="none" w:sz="0" w:space="0" w:color="auto"/>
        <w:bottom w:val="none" w:sz="0" w:space="0" w:color="auto"/>
        <w:right w:val="none" w:sz="0" w:space="0" w:color="auto"/>
      </w:divBdr>
    </w:div>
    <w:div w:id="1056971548">
      <w:bodyDiv w:val="1"/>
      <w:marLeft w:val="0"/>
      <w:marRight w:val="0"/>
      <w:marTop w:val="0"/>
      <w:marBottom w:val="0"/>
      <w:divBdr>
        <w:top w:val="none" w:sz="0" w:space="0" w:color="auto"/>
        <w:left w:val="none" w:sz="0" w:space="0" w:color="auto"/>
        <w:bottom w:val="none" w:sz="0" w:space="0" w:color="auto"/>
        <w:right w:val="none" w:sz="0" w:space="0" w:color="auto"/>
      </w:divBdr>
    </w:div>
    <w:div w:id="1061907078">
      <w:bodyDiv w:val="1"/>
      <w:marLeft w:val="0"/>
      <w:marRight w:val="0"/>
      <w:marTop w:val="0"/>
      <w:marBottom w:val="0"/>
      <w:divBdr>
        <w:top w:val="none" w:sz="0" w:space="0" w:color="auto"/>
        <w:left w:val="none" w:sz="0" w:space="0" w:color="auto"/>
        <w:bottom w:val="none" w:sz="0" w:space="0" w:color="auto"/>
        <w:right w:val="none" w:sz="0" w:space="0" w:color="auto"/>
      </w:divBdr>
    </w:div>
    <w:div w:id="1063868083">
      <w:bodyDiv w:val="1"/>
      <w:marLeft w:val="0"/>
      <w:marRight w:val="0"/>
      <w:marTop w:val="0"/>
      <w:marBottom w:val="0"/>
      <w:divBdr>
        <w:top w:val="none" w:sz="0" w:space="0" w:color="auto"/>
        <w:left w:val="none" w:sz="0" w:space="0" w:color="auto"/>
        <w:bottom w:val="none" w:sz="0" w:space="0" w:color="auto"/>
        <w:right w:val="none" w:sz="0" w:space="0" w:color="auto"/>
      </w:divBdr>
    </w:div>
    <w:div w:id="1065495881">
      <w:bodyDiv w:val="1"/>
      <w:marLeft w:val="0"/>
      <w:marRight w:val="0"/>
      <w:marTop w:val="0"/>
      <w:marBottom w:val="0"/>
      <w:divBdr>
        <w:top w:val="none" w:sz="0" w:space="0" w:color="auto"/>
        <w:left w:val="none" w:sz="0" w:space="0" w:color="auto"/>
        <w:bottom w:val="none" w:sz="0" w:space="0" w:color="auto"/>
        <w:right w:val="none" w:sz="0" w:space="0" w:color="auto"/>
      </w:divBdr>
    </w:div>
    <w:div w:id="1066417517">
      <w:bodyDiv w:val="1"/>
      <w:marLeft w:val="0"/>
      <w:marRight w:val="0"/>
      <w:marTop w:val="0"/>
      <w:marBottom w:val="0"/>
      <w:divBdr>
        <w:top w:val="none" w:sz="0" w:space="0" w:color="auto"/>
        <w:left w:val="none" w:sz="0" w:space="0" w:color="auto"/>
        <w:bottom w:val="none" w:sz="0" w:space="0" w:color="auto"/>
        <w:right w:val="none" w:sz="0" w:space="0" w:color="auto"/>
      </w:divBdr>
    </w:div>
    <w:div w:id="1068503758">
      <w:bodyDiv w:val="1"/>
      <w:marLeft w:val="0"/>
      <w:marRight w:val="0"/>
      <w:marTop w:val="0"/>
      <w:marBottom w:val="0"/>
      <w:divBdr>
        <w:top w:val="none" w:sz="0" w:space="0" w:color="auto"/>
        <w:left w:val="none" w:sz="0" w:space="0" w:color="auto"/>
        <w:bottom w:val="none" w:sz="0" w:space="0" w:color="auto"/>
        <w:right w:val="none" w:sz="0" w:space="0" w:color="auto"/>
      </w:divBdr>
    </w:div>
    <w:div w:id="1078089328">
      <w:bodyDiv w:val="1"/>
      <w:marLeft w:val="0"/>
      <w:marRight w:val="0"/>
      <w:marTop w:val="0"/>
      <w:marBottom w:val="0"/>
      <w:divBdr>
        <w:top w:val="none" w:sz="0" w:space="0" w:color="auto"/>
        <w:left w:val="none" w:sz="0" w:space="0" w:color="auto"/>
        <w:bottom w:val="none" w:sz="0" w:space="0" w:color="auto"/>
        <w:right w:val="none" w:sz="0" w:space="0" w:color="auto"/>
      </w:divBdr>
    </w:div>
    <w:div w:id="1080326380">
      <w:bodyDiv w:val="1"/>
      <w:marLeft w:val="0"/>
      <w:marRight w:val="0"/>
      <w:marTop w:val="0"/>
      <w:marBottom w:val="0"/>
      <w:divBdr>
        <w:top w:val="none" w:sz="0" w:space="0" w:color="auto"/>
        <w:left w:val="none" w:sz="0" w:space="0" w:color="auto"/>
        <w:bottom w:val="none" w:sz="0" w:space="0" w:color="auto"/>
        <w:right w:val="none" w:sz="0" w:space="0" w:color="auto"/>
      </w:divBdr>
    </w:div>
    <w:div w:id="1087312355">
      <w:bodyDiv w:val="1"/>
      <w:marLeft w:val="0"/>
      <w:marRight w:val="0"/>
      <w:marTop w:val="0"/>
      <w:marBottom w:val="0"/>
      <w:divBdr>
        <w:top w:val="none" w:sz="0" w:space="0" w:color="auto"/>
        <w:left w:val="none" w:sz="0" w:space="0" w:color="auto"/>
        <w:bottom w:val="none" w:sz="0" w:space="0" w:color="auto"/>
        <w:right w:val="none" w:sz="0" w:space="0" w:color="auto"/>
      </w:divBdr>
    </w:div>
    <w:div w:id="1089885036">
      <w:bodyDiv w:val="1"/>
      <w:marLeft w:val="0"/>
      <w:marRight w:val="0"/>
      <w:marTop w:val="0"/>
      <w:marBottom w:val="0"/>
      <w:divBdr>
        <w:top w:val="none" w:sz="0" w:space="0" w:color="auto"/>
        <w:left w:val="none" w:sz="0" w:space="0" w:color="auto"/>
        <w:bottom w:val="none" w:sz="0" w:space="0" w:color="auto"/>
        <w:right w:val="none" w:sz="0" w:space="0" w:color="auto"/>
      </w:divBdr>
    </w:div>
    <w:div w:id="1090811039">
      <w:bodyDiv w:val="1"/>
      <w:marLeft w:val="0"/>
      <w:marRight w:val="0"/>
      <w:marTop w:val="0"/>
      <w:marBottom w:val="0"/>
      <w:divBdr>
        <w:top w:val="none" w:sz="0" w:space="0" w:color="auto"/>
        <w:left w:val="none" w:sz="0" w:space="0" w:color="auto"/>
        <w:bottom w:val="none" w:sz="0" w:space="0" w:color="auto"/>
        <w:right w:val="none" w:sz="0" w:space="0" w:color="auto"/>
      </w:divBdr>
    </w:div>
    <w:div w:id="1091703589">
      <w:bodyDiv w:val="1"/>
      <w:marLeft w:val="0"/>
      <w:marRight w:val="0"/>
      <w:marTop w:val="0"/>
      <w:marBottom w:val="0"/>
      <w:divBdr>
        <w:top w:val="none" w:sz="0" w:space="0" w:color="auto"/>
        <w:left w:val="none" w:sz="0" w:space="0" w:color="auto"/>
        <w:bottom w:val="none" w:sz="0" w:space="0" w:color="auto"/>
        <w:right w:val="none" w:sz="0" w:space="0" w:color="auto"/>
      </w:divBdr>
    </w:div>
    <w:div w:id="1095130514">
      <w:bodyDiv w:val="1"/>
      <w:marLeft w:val="0"/>
      <w:marRight w:val="0"/>
      <w:marTop w:val="0"/>
      <w:marBottom w:val="0"/>
      <w:divBdr>
        <w:top w:val="none" w:sz="0" w:space="0" w:color="auto"/>
        <w:left w:val="none" w:sz="0" w:space="0" w:color="auto"/>
        <w:bottom w:val="none" w:sz="0" w:space="0" w:color="auto"/>
        <w:right w:val="none" w:sz="0" w:space="0" w:color="auto"/>
      </w:divBdr>
    </w:div>
    <w:div w:id="1097213184">
      <w:bodyDiv w:val="1"/>
      <w:marLeft w:val="0"/>
      <w:marRight w:val="0"/>
      <w:marTop w:val="0"/>
      <w:marBottom w:val="0"/>
      <w:divBdr>
        <w:top w:val="none" w:sz="0" w:space="0" w:color="auto"/>
        <w:left w:val="none" w:sz="0" w:space="0" w:color="auto"/>
        <w:bottom w:val="none" w:sz="0" w:space="0" w:color="auto"/>
        <w:right w:val="none" w:sz="0" w:space="0" w:color="auto"/>
      </w:divBdr>
    </w:div>
    <w:div w:id="1100494826">
      <w:bodyDiv w:val="1"/>
      <w:marLeft w:val="0"/>
      <w:marRight w:val="0"/>
      <w:marTop w:val="0"/>
      <w:marBottom w:val="0"/>
      <w:divBdr>
        <w:top w:val="none" w:sz="0" w:space="0" w:color="auto"/>
        <w:left w:val="none" w:sz="0" w:space="0" w:color="auto"/>
        <w:bottom w:val="none" w:sz="0" w:space="0" w:color="auto"/>
        <w:right w:val="none" w:sz="0" w:space="0" w:color="auto"/>
      </w:divBdr>
    </w:div>
    <w:div w:id="1124036797">
      <w:bodyDiv w:val="1"/>
      <w:marLeft w:val="0"/>
      <w:marRight w:val="0"/>
      <w:marTop w:val="0"/>
      <w:marBottom w:val="0"/>
      <w:divBdr>
        <w:top w:val="none" w:sz="0" w:space="0" w:color="auto"/>
        <w:left w:val="none" w:sz="0" w:space="0" w:color="auto"/>
        <w:bottom w:val="none" w:sz="0" w:space="0" w:color="auto"/>
        <w:right w:val="none" w:sz="0" w:space="0" w:color="auto"/>
      </w:divBdr>
    </w:div>
    <w:div w:id="1125076917">
      <w:bodyDiv w:val="1"/>
      <w:marLeft w:val="0"/>
      <w:marRight w:val="0"/>
      <w:marTop w:val="0"/>
      <w:marBottom w:val="0"/>
      <w:divBdr>
        <w:top w:val="none" w:sz="0" w:space="0" w:color="auto"/>
        <w:left w:val="none" w:sz="0" w:space="0" w:color="auto"/>
        <w:bottom w:val="none" w:sz="0" w:space="0" w:color="auto"/>
        <w:right w:val="none" w:sz="0" w:space="0" w:color="auto"/>
      </w:divBdr>
    </w:div>
    <w:div w:id="1135562007">
      <w:bodyDiv w:val="1"/>
      <w:marLeft w:val="0"/>
      <w:marRight w:val="0"/>
      <w:marTop w:val="0"/>
      <w:marBottom w:val="0"/>
      <w:divBdr>
        <w:top w:val="none" w:sz="0" w:space="0" w:color="auto"/>
        <w:left w:val="none" w:sz="0" w:space="0" w:color="auto"/>
        <w:bottom w:val="none" w:sz="0" w:space="0" w:color="auto"/>
        <w:right w:val="none" w:sz="0" w:space="0" w:color="auto"/>
      </w:divBdr>
    </w:div>
    <w:div w:id="1143615547">
      <w:bodyDiv w:val="1"/>
      <w:marLeft w:val="0"/>
      <w:marRight w:val="0"/>
      <w:marTop w:val="0"/>
      <w:marBottom w:val="0"/>
      <w:divBdr>
        <w:top w:val="none" w:sz="0" w:space="0" w:color="auto"/>
        <w:left w:val="none" w:sz="0" w:space="0" w:color="auto"/>
        <w:bottom w:val="none" w:sz="0" w:space="0" w:color="auto"/>
        <w:right w:val="none" w:sz="0" w:space="0" w:color="auto"/>
      </w:divBdr>
    </w:div>
    <w:div w:id="1143734666">
      <w:bodyDiv w:val="1"/>
      <w:marLeft w:val="0"/>
      <w:marRight w:val="0"/>
      <w:marTop w:val="0"/>
      <w:marBottom w:val="0"/>
      <w:divBdr>
        <w:top w:val="none" w:sz="0" w:space="0" w:color="auto"/>
        <w:left w:val="none" w:sz="0" w:space="0" w:color="auto"/>
        <w:bottom w:val="none" w:sz="0" w:space="0" w:color="auto"/>
        <w:right w:val="none" w:sz="0" w:space="0" w:color="auto"/>
      </w:divBdr>
    </w:div>
    <w:div w:id="1151487929">
      <w:bodyDiv w:val="1"/>
      <w:marLeft w:val="0"/>
      <w:marRight w:val="0"/>
      <w:marTop w:val="0"/>
      <w:marBottom w:val="0"/>
      <w:divBdr>
        <w:top w:val="none" w:sz="0" w:space="0" w:color="auto"/>
        <w:left w:val="none" w:sz="0" w:space="0" w:color="auto"/>
        <w:bottom w:val="none" w:sz="0" w:space="0" w:color="auto"/>
        <w:right w:val="none" w:sz="0" w:space="0" w:color="auto"/>
      </w:divBdr>
    </w:div>
    <w:div w:id="1161317089">
      <w:bodyDiv w:val="1"/>
      <w:marLeft w:val="0"/>
      <w:marRight w:val="0"/>
      <w:marTop w:val="0"/>
      <w:marBottom w:val="0"/>
      <w:divBdr>
        <w:top w:val="none" w:sz="0" w:space="0" w:color="auto"/>
        <w:left w:val="none" w:sz="0" w:space="0" w:color="auto"/>
        <w:bottom w:val="none" w:sz="0" w:space="0" w:color="auto"/>
        <w:right w:val="none" w:sz="0" w:space="0" w:color="auto"/>
      </w:divBdr>
    </w:div>
    <w:div w:id="1162354810">
      <w:bodyDiv w:val="1"/>
      <w:marLeft w:val="0"/>
      <w:marRight w:val="0"/>
      <w:marTop w:val="0"/>
      <w:marBottom w:val="0"/>
      <w:divBdr>
        <w:top w:val="none" w:sz="0" w:space="0" w:color="auto"/>
        <w:left w:val="none" w:sz="0" w:space="0" w:color="auto"/>
        <w:bottom w:val="none" w:sz="0" w:space="0" w:color="auto"/>
        <w:right w:val="none" w:sz="0" w:space="0" w:color="auto"/>
      </w:divBdr>
    </w:div>
    <w:div w:id="1167936242">
      <w:bodyDiv w:val="1"/>
      <w:marLeft w:val="0"/>
      <w:marRight w:val="0"/>
      <w:marTop w:val="0"/>
      <w:marBottom w:val="0"/>
      <w:divBdr>
        <w:top w:val="none" w:sz="0" w:space="0" w:color="auto"/>
        <w:left w:val="none" w:sz="0" w:space="0" w:color="auto"/>
        <w:bottom w:val="none" w:sz="0" w:space="0" w:color="auto"/>
        <w:right w:val="none" w:sz="0" w:space="0" w:color="auto"/>
      </w:divBdr>
    </w:div>
    <w:div w:id="1168055112">
      <w:bodyDiv w:val="1"/>
      <w:marLeft w:val="0"/>
      <w:marRight w:val="0"/>
      <w:marTop w:val="0"/>
      <w:marBottom w:val="0"/>
      <w:divBdr>
        <w:top w:val="none" w:sz="0" w:space="0" w:color="auto"/>
        <w:left w:val="none" w:sz="0" w:space="0" w:color="auto"/>
        <w:bottom w:val="none" w:sz="0" w:space="0" w:color="auto"/>
        <w:right w:val="none" w:sz="0" w:space="0" w:color="auto"/>
      </w:divBdr>
    </w:div>
    <w:div w:id="1169636983">
      <w:bodyDiv w:val="1"/>
      <w:marLeft w:val="0"/>
      <w:marRight w:val="0"/>
      <w:marTop w:val="0"/>
      <w:marBottom w:val="0"/>
      <w:divBdr>
        <w:top w:val="none" w:sz="0" w:space="0" w:color="auto"/>
        <w:left w:val="none" w:sz="0" w:space="0" w:color="auto"/>
        <w:bottom w:val="none" w:sz="0" w:space="0" w:color="auto"/>
        <w:right w:val="none" w:sz="0" w:space="0" w:color="auto"/>
      </w:divBdr>
    </w:div>
    <w:div w:id="1170564525">
      <w:bodyDiv w:val="1"/>
      <w:marLeft w:val="0"/>
      <w:marRight w:val="0"/>
      <w:marTop w:val="0"/>
      <w:marBottom w:val="0"/>
      <w:divBdr>
        <w:top w:val="none" w:sz="0" w:space="0" w:color="auto"/>
        <w:left w:val="none" w:sz="0" w:space="0" w:color="auto"/>
        <w:bottom w:val="none" w:sz="0" w:space="0" w:color="auto"/>
        <w:right w:val="none" w:sz="0" w:space="0" w:color="auto"/>
      </w:divBdr>
    </w:div>
    <w:div w:id="1176385742">
      <w:bodyDiv w:val="1"/>
      <w:marLeft w:val="0"/>
      <w:marRight w:val="0"/>
      <w:marTop w:val="0"/>
      <w:marBottom w:val="0"/>
      <w:divBdr>
        <w:top w:val="none" w:sz="0" w:space="0" w:color="auto"/>
        <w:left w:val="none" w:sz="0" w:space="0" w:color="auto"/>
        <w:bottom w:val="none" w:sz="0" w:space="0" w:color="auto"/>
        <w:right w:val="none" w:sz="0" w:space="0" w:color="auto"/>
      </w:divBdr>
    </w:div>
    <w:div w:id="1179001292">
      <w:bodyDiv w:val="1"/>
      <w:marLeft w:val="0"/>
      <w:marRight w:val="0"/>
      <w:marTop w:val="0"/>
      <w:marBottom w:val="0"/>
      <w:divBdr>
        <w:top w:val="none" w:sz="0" w:space="0" w:color="auto"/>
        <w:left w:val="none" w:sz="0" w:space="0" w:color="auto"/>
        <w:bottom w:val="none" w:sz="0" w:space="0" w:color="auto"/>
        <w:right w:val="none" w:sz="0" w:space="0" w:color="auto"/>
      </w:divBdr>
    </w:div>
    <w:div w:id="1180466046">
      <w:bodyDiv w:val="1"/>
      <w:marLeft w:val="0"/>
      <w:marRight w:val="0"/>
      <w:marTop w:val="0"/>
      <w:marBottom w:val="0"/>
      <w:divBdr>
        <w:top w:val="none" w:sz="0" w:space="0" w:color="auto"/>
        <w:left w:val="none" w:sz="0" w:space="0" w:color="auto"/>
        <w:bottom w:val="none" w:sz="0" w:space="0" w:color="auto"/>
        <w:right w:val="none" w:sz="0" w:space="0" w:color="auto"/>
      </w:divBdr>
    </w:div>
    <w:div w:id="1187720381">
      <w:bodyDiv w:val="1"/>
      <w:marLeft w:val="0"/>
      <w:marRight w:val="0"/>
      <w:marTop w:val="0"/>
      <w:marBottom w:val="0"/>
      <w:divBdr>
        <w:top w:val="none" w:sz="0" w:space="0" w:color="auto"/>
        <w:left w:val="none" w:sz="0" w:space="0" w:color="auto"/>
        <w:bottom w:val="none" w:sz="0" w:space="0" w:color="auto"/>
        <w:right w:val="none" w:sz="0" w:space="0" w:color="auto"/>
      </w:divBdr>
    </w:div>
    <w:div w:id="1190069138">
      <w:bodyDiv w:val="1"/>
      <w:marLeft w:val="0"/>
      <w:marRight w:val="0"/>
      <w:marTop w:val="0"/>
      <w:marBottom w:val="0"/>
      <w:divBdr>
        <w:top w:val="none" w:sz="0" w:space="0" w:color="auto"/>
        <w:left w:val="none" w:sz="0" w:space="0" w:color="auto"/>
        <w:bottom w:val="none" w:sz="0" w:space="0" w:color="auto"/>
        <w:right w:val="none" w:sz="0" w:space="0" w:color="auto"/>
      </w:divBdr>
    </w:div>
    <w:div w:id="1200164162">
      <w:bodyDiv w:val="1"/>
      <w:marLeft w:val="0"/>
      <w:marRight w:val="0"/>
      <w:marTop w:val="0"/>
      <w:marBottom w:val="0"/>
      <w:divBdr>
        <w:top w:val="none" w:sz="0" w:space="0" w:color="auto"/>
        <w:left w:val="none" w:sz="0" w:space="0" w:color="auto"/>
        <w:bottom w:val="none" w:sz="0" w:space="0" w:color="auto"/>
        <w:right w:val="none" w:sz="0" w:space="0" w:color="auto"/>
      </w:divBdr>
    </w:div>
    <w:div w:id="1204250197">
      <w:bodyDiv w:val="1"/>
      <w:marLeft w:val="0"/>
      <w:marRight w:val="0"/>
      <w:marTop w:val="0"/>
      <w:marBottom w:val="0"/>
      <w:divBdr>
        <w:top w:val="none" w:sz="0" w:space="0" w:color="auto"/>
        <w:left w:val="none" w:sz="0" w:space="0" w:color="auto"/>
        <w:bottom w:val="none" w:sz="0" w:space="0" w:color="auto"/>
        <w:right w:val="none" w:sz="0" w:space="0" w:color="auto"/>
      </w:divBdr>
    </w:div>
    <w:div w:id="1205292961">
      <w:bodyDiv w:val="1"/>
      <w:marLeft w:val="0"/>
      <w:marRight w:val="0"/>
      <w:marTop w:val="0"/>
      <w:marBottom w:val="0"/>
      <w:divBdr>
        <w:top w:val="none" w:sz="0" w:space="0" w:color="auto"/>
        <w:left w:val="none" w:sz="0" w:space="0" w:color="auto"/>
        <w:bottom w:val="none" w:sz="0" w:space="0" w:color="auto"/>
        <w:right w:val="none" w:sz="0" w:space="0" w:color="auto"/>
      </w:divBdr>
    </w:div>
    <w:div w:id="1205943883">
      <w:bodyDiv w:val="1"/>
      <w:marLeft w:val="0"/>
      <w:marRight w:val="0"/>
      <w:marTop w:val="0"/>
      <w:marBottom w:val="0"/>
      <w:divBdr>
        <w:top w:val="none" w:sz="0" w:space="0" w:color="auto"/>
        <w:left w:val="none" w:sz="0" w:space="0" w:color="auto"/>
        <w:bottom w:val="none" w:sz="0" w:space="0" w:color="auto"/>
        <w:right w:val="none" w:sz="0" w:space="0" w:color="auto"/>
      </w:divBdr>
    </w:div>
    <w:div w:id="1208107583">
      <w:bodyDiv w:val="1"/>
      <w:marLeft w:val="0"/>
      <w:marRight w:val="0"/>
      <w:marTop w:val="0"/>
      <w:marBottom w:val="0"/>
      <w:divBdr>
        <w:top w:val="none" w:sz="0" w:space="0" w:color="auto"/>
        <w:left w:val="none" w:sz="0" w:space="0" w:color="auto"/>
        <w:bottom w:val="none" w:sz="0" w:space="0" w:color="auto"/>
        <w:right w:val="none" w:sz="0" w:space="0" w:color="auto"/>
      </w:divBdr>
    </w:div>
    <w:div w:id="1212573135">
      <w:bodyDiv w:val="1"/>
      <w:marLeft w:val="0"/>
      <w:marRight w:val="0"/>
      <w:marTop w:val="0"/>
      <w:marBottom w:val="0"/>
      <w:divBdr>
        <w:top w:val="none" w:sz="0" w:space="0" w:color="auto"/>
        <w:left w:val="none" w:sz="0" w:space="0" w:color="auto"/>
        <w:bottom w:val="none" w:sz="0" w:space="0" w:color="auto"/>
        <w:right w:val="none" w:sz="0" w:space="0" w:color="auto"/>
      </w:divBdr>
    </w:div>
    <w:div w:id="1217084741">
      <w:bodyDiv w:val="1"/>
      <w:marLeft w:val="0"/>
      <w:marRight w:val="0"/>
      <w:marTop w:val="0"/>
      <w:marBottom w:val="0"/>
      <w:divBdr>
        <w:top w:val="none" w:sz="0" w:space="0" w:color="auto"/>
        <w:left w:val="none" w:sz="0" w:space="0" w:color="auto"/>
        <w:bottom w:val="none" w:sz="0" w:space="0" w:color="auto"/>
        <w:right w:val="none" w:sz="0" w:space="0" w:color="auto"/>
      </w:divBdr>
    </w:div>
    <w:div w:id="1218931359">
      <w:bodyDiv w:val="1"/>
      <w:marLeft w:val="0"/>
      <w:marRight w:val="0"/>
      <w:marTop w:val="0"/>
      <w:marBottom w:val="0"/>
      <w:divBdr>
        <w:top w:val="none" w:sz="0" w:space="0" w:color="auto"/>
        <w:left w:val="none" w:sz="0" w:space="0" w:color="auto"/>
        <w:bottom w:val="none" w:sz="0" w:space="0" w:color="auto"/>
        <w:right w:val="none" w:sz="0" w:space="0" w:color="auto"/>
      </w:divBdr>
    </w:div>
    <w:div w:id="1222865830">
      <w:bodyDiv w:val="1"/>
      <w:marLeft w:val="0"/>
      <w:marRight w:val="0"/>
      <w:marTop w:val="0"/>
      <w:marBottom w:val="0"/>
      <w:divBdr>
        <w:top w:val="none" w:sz="0" w:space="0" w:color="auto"/>
        <w:left w:val="none" w:sz="0" w:space="0" w:color="auto"/>
        <w:bottom w:val="none" w:sz="0" w:space="0" w:color="auto"/>
        <w:right w:val="none" w:sz="0" w:space="0" w:color="auto"/>
      </w:divBdr>
    </w:div>
    <w:div w:id="1223101692">
      <w:bodyDiv w:val="1"/>
      <w:marLeft w:val="0"/>
      <w:marRight w:val="0"/>
      <w:marTop w:val="0"/>
      <w:marBottom w:val="0"/>
      <w:divBdr>
        <w:top w:val="none" w:sz="0" w:space="0" w:color="auto"/>
        <w:left w:val="none" w:sz="0" w:space="0" w:color="auto"/>
        <w:bottom w:val="none" w:sz="0" w:space="0" w:color="auto"/>
        <w:right w:val="none" w:sz="0" w:space="0" w:color="auto"/>
      </w:divBdr>
    </w:div>
    <w:div w:id="1226069645">
      <w:bodyDiv w:val="1"/>
      <w:marLeft w:val="0"/>
      <w:marRight w:val="0"/>
      <w:marTop w:val="0"/>
      <w:marBottom w:val="0"/>
      <w:divBdr>
        <w:top w:val="none" w:sz="0" w:space="0" w:color="auto"/>
        <w:left w:val="none" w:sz="0" w:space="0" w:color="auto"/>
        <w:bottom w:val="none" w:sz="0" w:space="0" w:color="auto"/>
        <w:right w:val="none" w:sz="0" w:space="0" w:color="auto"/>
      </w:divBdr>
    </w:div>
    <w:div w:id="1228106996">
      <w:bodyDiv w:val="1"/>
      <w:marLeft w:val="0"/>
      <w:marRight w:val="0"/>
      <w:marTop w:val="0"/>
      <w:marBottom w:val="0"/>
      <w:divBdr>
        <w:top w:val="none" w:sz="0" w:space="0" w:color="auto"/>
        <w:left w:val="none" w:sz="0" w:space="0" w:color="auto"/>
        <w:bottom w:val="none" w:sz="0" w:space="0" w:color="auto"/>
        <w:right w:val="none" w:sz="0" w:space="0" w:color="auto"/>
      </w:divBdr>
    </w:div>
    <w:div w:id="1228490437">
      <w:bodyDiv w:val="1"/>
      <w:marLeft w:val="0"/>
      <w:marRight w:val="0"/>
      <w:marTop w:val="0"/>
      <w:marBottom w:val="0"/>
      <w:divBdr>
        <w:top w:val="none" w:sz="0" w:space="0" w:color="auto"/>
        <w:left w:val="none" w:sz="0" w:space="0" w:color="auto"/>
        <w:bottom w:val="none" w:sz="0" w:space="0" w:color="auto"/>
        <w:right w:val="none" w:sz="0" w:space="0" w:color="auto"/>
      </w:divBdr>
    </w:div>
    <w:div w:id="1228685761">
      <w:bodyDiv w:val="1"/>
      <w:marLeft w:val="0"/>
      <w:marRight w:val="0"/>
      <w:marTop w:val="0"/>
      <w:marBottom w:val="0"/>
      <w:divBdr>
        <w:top w:val="none" w:sz="0" w:space="0" w:color="auto"/>
        <w:left w:val="none" w:sz="0" w:space="0" w:color="auto"/>
        <w:bottom w:val="none" w:sz="0" w:space="0" w:color="auto"/>
        <w:right w:val="none" w:sz="0" w:space="0" w:color="auto"/>
      </w:divBdr>
    </w:div>
    <w:div w:id="1230843509">
      <w:bodyDiv w:val="1"/>
      <w:marLeft w:val="0"/>
      <w:marRight w:val="0"/>
      <w:marTop w:val="0"/>
      <w:marBottom w:val="0"/>
      <w:divBdr>
        <w:top w:val="none" w:sz="0" w:space="0" w:color="auto"/>
        <w:left w:val="none" w:sz="0" w:space="0" w:color="auto"/>
        <w:bottom w:val="none" w:sz="0" w:space="0" w:color="auto"/>
        <w:right w:val="none" w:sz="0" w:space="0" w:color="auto"/>
      </w:divBdr>
    </w:div>
    <w:div w:id="1230992095">
      <w:bodyDiv w:val="1"/>
      <w:marLeft w:val="0"/>
      <w:marRight w:val="0"/>
      <w:marTop w:val="0"/>
      <w:marBottom w:val="0"/>
      <w:divBdr>
        <w:top w:val="none" w:sz="0" w:space="0" w:color="auto"/>
        <w:left w:val="none" w:sz="0" w:space="0" w:color="auto"/>
        <w:bottom w:val="none" w:sz="0" w:space="0" w:color="auto"/>
        <w:right w:val="none" w:sz="0" w:space="0" w:color="auto"/>
      </w:divBdr>
    </w:div>
    <w:div w:id="1240596909">
      <w:bodyDiv w:val="1"/>
      <w:marLeft w:val="0"/>
      <w:marRight w:val="0"/>
      <w:marTop w:val="0"/>
      <w:marBottom w:val="0"/>
      <w:divBdr>
        <w:top w:val="none" w:sz="0" w:space="0" w:color="auto"/>
        <w:left w:val="none" w:sz="0" w:space="0" w:color="auto"/>
        <w:bottom w:val="none" w:sz="0" w:space="0" w:color="auto"/>
        <w:right w:val="none" w:sz="0" w:space="0" w:color="auto"/>
      </w:divBdr>
    </w:div>
    <w:div w:id="1242834327">
      <w:bodyDiv w:val="1"/>
      <w:marLeft w:val="0"/>
      <w:marRight w:val="0"/>
      <w:marTop w:val="0"/>
      <w:marBottom w:val="0"/>
      <w:divBdr>
        <w:top w:val="none" w:sz="0" w:space="0" w:color="auto"/>
        <w:left w:val="none" w:sz="0" w:space="0" w:color="auto"/>
        <w:bottom w:val="none" w:sz="0" w:space="0" w:color="auto"/>
        <w:right w:val="none" w:sz="0" w:space="0" w:color="auto"/>
      </w:divBdr>
    </w:div>
    <w:div w:id="1246378604">
      <w:bodyDiv w:val="1"/>
      <w:marLeft w:val="0"/>
      <w:marRight w:val="0"/>
      <w:marTop w:val="0"/>
      <w:marBottom w:val="0"/>
      <w:divBdr>
        <w:top w:val="none" w:sz="0" w:space="0" w:color="auto"/>
        <w:left w:val="none" w:sz="0" w:space="0" w:color="auto"/>
        <w:bottom w:val="none" w:sz="0" w:space="0" w:color="auto"/>
        <w:right w:val="none" w:sz="0" w:space="0" w:color="auto"/>
      </w:divBdr>
    </w:div>
    <w:div w:id="1246494801">
      <w:bodyDiv w:val="1"/>
      <w:marLeft w:val="0"/>
      <w:marRight w:val="0"/>
      <w:marTop w:val="0"/>
      <w:marBottom w:val="0"/>
      <w:divBdr>
        <w:top w:val="none" w:sz="0" w:space="0" w:color="auto"/>
        <w:left w:val="none" w:sz="0" w:space="0" w:color="auto"/>
        <w:bottom w:val="none" w:sz="0" w:space="0" w:color="auto"/>
        <w:right w:val="none" w:sz="0" w:space="0" w:color="auto"/>
      </w:divBdr>
    </w:div>
    <w:div w:id="1254513610">
      <w:bodyDiv w:val="1"/>
      <w:marLeft w:val="0"/>
      <w:marRight w:val="0"/>
      <w:marTop w:val="0"/>
      <w:marBottom w:val="0"/>
      <w:divBdr>
        <w:top w:val="none" w:sz="0" w:space="0" w:color="auto"/>
        <w:left w:val="none" w:sz="0" w:space="0" w:color="auto"/>
        <w:bottom w:val="none" w:sz="0" w:space="0" w:color="auto"/>
        <w:right w:val="none" w:sz="0" w:space="0" w:color="auto"/>
      </w:divBdr>
    </w:div>
    <w:div w:id="1260866135">
      <w:bodyDiv w:val="1"/>
      <w:marLeft w:val="0"/>
      <w:marRight w:val="0"/>
      <w:marTop w:val="0"/>
      <w:marBottom w:val="0"/>
      <w:divBdr>
        <w:top w:val="none" w:sz="0" w:space="0" w:color="auto"/>
        <w:left w:val="none" w:sz="0" w:space="0" w:color="auto"/>
        <w:bottom w:val="none" w:sz="0" w:space="0" w:color="auto"/>
        <w:right w:val="none" w:sz="0" w:space="0" w:color="auto"/>
      </w:divBdr>
    </w:div>
    <w:div w:id="1264916944">
      <w:bodyDiv w:val="1"/>
      <w:marLeft w:val="0"/>
      <w:marRight w:val="0"/>
      <w:marTop w:val="0"/>
      <w:marBottom w:val="0"/>
      <w:divBdr>
        <w:top w:val="none" w:sz="0" w:space="0" w:color="auto"/>
        <w:left w:val="none" w:sz="0" w:space="0" w:color="auto"/>
        <w:bottom w:val="none" w:sz="0" w:space="0" w:color="auto"/>
        <w:right w:val="none" w:sz="0" w:space="0" w:color="auto"/>
      </w:divBdr>
    </w:div>
    <w:div w:id="1265379525">
      <w:bodyDiv w:val="1"/>
      <w:marLeft w:val="0"/>
      <w:marRight w:val="0"/>
      <w:marTop w:val="0"/>
      <w:marBottom w:val="0"/>
      <w:divBdr>
        <w:top w:val="none" w:sz="0" w:space="0" w:color="auto"/>
        <w:left w:val="none" w:sz="0" w:space="0" w:color="auto"/>
        <w:bottom w:val="none" w:sz="0" w:space="0" w:color="auto"/>
        <w:right w:val="none" w:sz="0" w:space="0" w:color="auto"/>
      </w:divBdr>
    </w:div>
    <w:div w:id="1270890325">
      <w:bodyDiv w:val="1"/>
      <w:marLeft w:val="0"/>
      <w:marRight w:val="0"/>
      <w:marTop w:val="0"/>
      <w:marBottom w:val="0"/>
      <w:divBdr>
        <w:top w:val="none" w:sz="0" w:space="0" w:color="auto"/>
        <w:left w:val="none" w:sz="0" w:space="0" w:color="auto"/>
        <w:bottom w:val="none" w:sz="0" w:space="0" w:color="auto"/>
        <w:right w:val="none" w:sz="0" w:space="0" w:color="auto"/>
      </w:divBdr>
    </w:div>
    <w:div w:id="1273629279">
      <w:bodyDiv w:val="1"/>
      <w:marLeft w:val="0"/>
      <w:marRight w:val="0"/>
      <w:marTop w:val="0"/>
      <w:marBottom w:val="0"/>
      <w:divBdr>
        <w:top w:val="none" w:sz="0" w:space="0" w:color="auto"/>
        <w:left w:val="none" w:sz="0" w:space="0" w:color="auto"/>
        <w:bottom w:val="none" w:sz="0" w:space="0" w:color="auto"/>
        <w:right w:val="none" w:sz="0" w:space="0" w:color="auto"/>
      </w:divBdr>
    </w:div>
    <w:div w:id="1273632895">
      <w:bodyDiv w:val="1"/>
      <w:marLeft w:val="0"/>
      <w:marRight w:val="0"/>
      <w:marTop w:val="0"/>
      <w:marBottom w:val="0"/>
      <w:divBdr>
        <w:top w:val="none" w:sz="0" w:space="0" w:color="auto"/>
        <w:left w:val="none" w:sz="0" w:space="0" w:color="auto"/>
        <w:bottom w:val="none" w:sz="0" w:space="0" w:color="auto"/>
        <w:right w:val="none" w:sz="0" w:space="0" w:color="auto"/>
      </w:divBdr>
    </w:div>
    <w:div w:id="1283531941">
      <w:bodyDiv w:val="1"/>
      <w:marLeft w:val="0"/>
      <w:marRight w:val="0"/>
      <w:marTop w:val="0"/>
      <w:marBottom w:val="0"/>
      <w:divBdr>
        <w:top w:val="none" w:sz="0" w:space="0" w:color="auto"/>
        <w:left w:val="none" w:sz="0" w:space="0" w:color="auto"/>
        <w:bottom w:val="none" w:sz="0" w:space="0" w:color="auto"/>
        <w:right w:val="none" w:sz="0" w:space="0" w:color="auto"/>
      </w:divBdr>
    </w:div>
    <w:div w:id="1291277695">
      <w:bodyDiv w:val="1"/>
      <w:marLeft w:val="0"/>
      <w:marRight w:val="0"/>
      <w:marTop w:val="0"/>
      <w:marBottom w:val="0"/>
      <w:divBdr>
        <w:top w:val="none" w:sz="0" w:space="0" w:color="auto"/>
        <w:left w:val="none" w:sz="0" w:space="0" w:color="auto"/>
        <w:bottom w:val="none" w:sz="0" w:space="0" w:color="auto"/>
        <w:right w:val="none" w:sz="0" w:space="0" w:color="auto"/>
      </w:divBdr>
    </w:div>
    <w:div w:id="1300300453">
      <w:bodyDiv w:val="1"/>
      <w:marLeft w:val="0"/>
      <w:marRight w:val="0"/>
      <w:marTop w:val="0"/>
      <w:marBottom w:val="0"/>
      <w:divBdr>
        <w:top w:val="none" w:sz="0" w:space="0" w:color="auto"/>
        <w:left w:val="none" w:sz="0" w:space="0" w:color="auto"/>
        <w:bottom w:val="none" w:sz="0" w:space="0" w:color="auto"/>
        <w:right w:val="none" w:sz="0" w:space="0" w:color="auto"/>
      </w:divBdr>
    </w:div>
    <w:div w:id="1303850667">
      <w:bodyDiv w:val="1"/>
      <w:marLeft w:val="0"/>
      <w:marRight w:val="0"/>
      <w:marTop w:val="0"/>
      <w:marBottom w:val="0"/>
      <w:divBdr>
        <w:top w:val="none" w:sz="0" w:space="0" w:color="auto"/>
        <w:left w:val="none" w:sz="0" w:space="0" w:color="auto"/>
        <w:bottom w:val="none" w:sz="0" w:space="0" w:color="auto"/>
        <w:right w:val="none" w:sz="0" w:space="0" w:color="auto"/>
      </w:divBdr>
    </w:div>
    <w:div w:id="1305502342">
      <w:bodyDiv w:val="1"/>
      <w:marLeft w:val="0"/>
      <w:marRight w:val="0"/>
      <w:marTop w:val="0"/>
      <w:marBottom w:val="0"/>
      <w:divBdr>
        <w:top w:val="none" w:sz="0" w:space="0" w:color="auto"/>
        <w:left w:val="none" w:sz="0" w:space="0" w:color="auto"/>
        <w:bottom w:val="none" w:sz="0" w:space="0" w:color="auto"/>
        <w:right w:val="none" w:sz="0" w:space="0" w:color="auto"/>
      </w:divBdr>
    </w:div>
    <w:div w:id="1315111721">
      <w:bodyDiv w:val="1"/>
      <w:marLeft w:val="0"/>
      <w:marRight w:val="0"/>
      <w:marTop w:val="0"/>
      <w:marBottom w:val="0"/>
      <w:divBdr>
        <w:top w:val="none" w:sz="0" w:space="0" w:color="auto"/>
        <w:left w:val="none" w:sz="0" w:space="0" w:color="auto"/>
        <w:bottom w:val="none" w:sz="0" w:space="0" w:color="auto"/>
        <w:right w:val="none" w:sz="0" w:space="0" w:color="auto"/>
      </w:divBdr>
    </w:div>
    <w:div w:id="1317415214">
      <w:bodyDiv w:val="1"/>
      <w:marLeft w:val="0"/>
      <w:marRight w:val="0"/>
      <w:marTop w:val="0"/>
      <w:marBottom w:val="0"/>
      <w:divBdr>
        <w:top w:val="none" w:sz="0" w:space="0" w:color="auto"/>
        <w:left w:val="none" w:sz="0" w:space="0" w:color="auto"/>
        <w:bottom w:val="none" w:sz="0" w:space="0" w:color="auto"/>
        <w:right w:val="none" w:sz="0" w:space="0" w:color="auto"/>
      </w:divBdr>
    </w:div>
    <w:div w:id="1320964659">
      <w:bodyDiv w:val="1"/>
      <w:marLeft w:val="0"/>
      <w:marRight w:val="0"/>
      <w:marTop w:val="0"/>
      <w:marBottom w:val="0"/>
      <w:divBdr>
        <w:top w:val="none" w:sz="0" w:space="0" w:color="auto"/>
        <w:left w:val="none" w:sz="0" w:space="0" w:color="auto"/>
        <w:bottom w:val="none" w:sz="0" w:space="0" w:color="auto"/>
        <w:right w:val="none" w:sz="0" w:space="0" w:color="auto"/>
      </w:divBdr>
    </w:div>
    <w:div w:id="1322805297">
      <w:bodyDiv w:val="1"/>
      <w:marLeft w:val="0"/>
      <w:marRight w:val="0"/>
      <w:marTop w:val="0"/>
      <w:marBottom w:val="0"/>
      <w:divBdr>
        <w:top w:val="none" w:sz="0" w:space="0" w:color="auto"/>
        <w:left w:val="none" w:sz="0" w:space="0" w:color="auto"/>
        <w:bottom w:val="none" w:sz="0" w:space="0" w:color="auto"/>
        <w:right w:val="none" w:sz="0" w:space="0" w:color="auto"/>
      </w:divBdr>
    </w:div>
    <w:div w:id="1328677736">
      <w:bodyDiv w:val="1"/>
      <w:marLeft w:val="0"/>
      <w:marRight w:val="0"/>
      <w:marTop w:val="0"/>
      <w:marBottom w:val="0"/>
      <w:divBdr>
        <w:top w:val="none" w:sz="0" w:space="0" w:color="auto"/>
        <w:left w:val="none" w:sz="0" w:space="0" w:color="auto"/>
        <w:bottom w:val="none" w:sz="0" w:space="0" w:color="auto"/>
        <w:right w:val="none" w:sz="0" w:space="0" w:color="auto"/>
      </w:divBdr>
    </w:div>
    <w:div w:id="1329359428">
      <w:bodyDiv w:val="1"/>
      <w:marLeft w:val="0"/>
      <w:marRight w:val="0"/>
      <w:marTop w:val="0"/>
      <w:marBottom w:val="0"/>
      <w:divBdr>
        <w:top w:val="none" w:sz="0" w:space="0" w:color="auto"/>
        <w:left w:val="none" w:sz="0" w:space="0" w:color="auto"/>
        <w:bottom w:val="none" w:sz="0" w:space="0" w:color="auto"/>
        <w:right w:val="none" w:sz="0" w:space="0" w:color="auto"/>
      </w:divBdr>
    </w:div>
    <w:div w:id="1332879776">
      <w:bodyDiv w:val="1"/>
      <w:marLeft w:val="0"/>
      <w:marRight w:val="0"/>
      <w:marTop w:val="0"/>
      <w:marBottom w:val="0"/>
      <w:divBdr>
        <w:top w:val="none" w:sz="0" w:space="0" w:color="auto"/>
        <w:left w:val="none" w:sz="0" w:space="0" w:color="auto"/>
        <w:bottom w:val="none" w:sz="0" w:space="0" w:color="auto"/>
        <w:right w:val="none" w:sz="0" w:space="0" w:color="auto"/>
      </w:divBdr>
    </w:div>
    <w:div w:id="1338313840">
      <w:bodyDiv w:val="1"/>
      <w:marLeft w:val="0"/>
      <w:marRight w:val="0"/>
      <w:marTop w:val="0"/>
      <w:marBottom w:val="0"/>
      <w:divBdr>
        <w:top w:val="none" w:sz="0" w:space="0" w:color="auto"/>
        <w:left w:val="none" w:sz="0" w:space="0" w:color="auto"/>
        <w:bottom w:val="none" w:sz="0" w:space="0" w:color="auto"/>
        <w:right w:val="none" w:sz="0" w:space="0" w:color="auto"/>
      </w:divBdr>
    </w:div>
    <w:div w:id="1341129295">
      <w:bodyDiv w:val="1"/>
      <w:marLeft w:val="0"/>
      <w:marRight w:val="0"/>
      <w:marTop w:val="0"/>
      <w:marBottom w:val="0"/>
      <w:divBdr>
        <w:top w:val="none" w:sz="0" w:space="0" w:color="auto"/>
        <w:left w:val="none" w:sz="0" w:space="0" w:color="auto"/>
        <w:bottom w:val="none" w:sz="0" w:space="0" w:color="auto"/>
        <w:right w:val="none" w:sz="0" w:space="0" w:color="auto"/>
      </w:divBdr>
    </w:div>
    <w:div w:id="1341855150">
      <w:bodyDiv w:val="1"/>
      <w:marLeft w:val="0"/>
      <w:marRight w:val="0"/>
      <w:marTop w:val="0"/>
      <w:marBottom w:val="0"/>
      <w:divBdr>
        <w:top w:val="none" w:sz="0" w:space="0" w:color="auto"/>
        <w:left w:val="none" w:sz="0" w:space="0" w:color="auto"/>
        <w:bottom w:val="none" w:sz="0" w:space="0" w:color="auto"/>
        <w:right w:val="none" w:sz="0" w:space="0" w:color="auto"/>
      </w:divBdr>
    </w:div>
    <w:div w:id="1351109343">
      <w:bodyDiv w:val="1"/>
      <w:marLeft w:val="0"/>
      <w:marRight w:val="0"/>
      <w:marTop w:val="0"/>
      <w:marBottom w:val="0"/>
      <w:divBdr>
        <w:top w:val="none" w:sz="0" w:space="0" w:color="auto"/>
        <w:left w:val="none" w:sz="0" w:space="0" w:color="auto"/>
        <w:bottom w:val="none" w:sz="0" w:space="0" w:color="auto"/>
        <w:right w:val="none" w:sz="0" w:space="0" w:color="auto"/>
      </w:divBdr>
    </w:div>
    <w:div w:id="1357779794">
      <w:bodyDiv w:val="1"/>
      <w:marLeft w:val="0"/>
      <w:marRight w:val="0"/>
      <w:marTop w:val="0"/>
      <w:marBottom w:val="0"/>
      <w:divBdr>
        <w:top w:val="none" w:sz="0" w:space="0" w:color="auto"/>
        <w:left w:val="none" w:sz="0" w:space="0" w:color="auto"/>
        <w:bottom w:val="none" w:sz="0" w:space="0" w:color="auto"/>
        <w:right w:val="none" w:sz="0" w:space="0" w:color="auto"/>
      </w:divBdr>
    </w:div>
    <w:div w:id="1359231685">
      <w:bodyDiv w:val="1"/>
      <w:marLeft w:val="0"/>
      <w:marRight w:val="0"/>
      <w:marTop w:val="0"/>
      <w:marBottom w:val="0"/>
      <w:divBdr>
        <w:top w:val="none" w:sz="0" w:space="0" w:color="auto"/>
        <w:left w:val="none" w:sz="0" w:space="0" w:color="auto"/>
        <w:bottom w:val="none" w:sz="0" w:space="0" w:color="auto"/>
        <w:right w:val="none" w:sz="0" w:space="0" w:color="auto"/>
      </w:divBdr>
    </w:div>
    <w:div w:id="1361665751">
      <w:bodyDiv w:val="1"/>
      <w:marLeft w:val="0"/>
      <w:marRight w:val="0"/>
      <w:marTop w:val="0"/>
      <w:marBottom w:val="0"/>
      <w:divBdr>
        <w:top w:val="none" w:sz="0" w:space="0" w:color="auto"/>
        <w:left w:val="none" w:sz="0" w:space="0" w:color="auto"/>
        <w:bottom w:val="none" w:sz="0" w:space="0" w:color="auto"/>
        <w:right w:val="none" w:sz="0" w:space="0" w:color="auto"/>
      </w:divBdr>
    </w:div>
    <w:div w:id="1367682981">
      <w:bodyDiv w:val="1"/>
      <w:marLeft w:val="0"/>
      <w:marRight w:val="0"/>
      <w:marTop w:val="0"/>
      <w:marBottom w:val="0"/>
      <w:divBdr>
        <w:top w:val="none" w:sz="0" w:space="0" w:color="auto"/>
        <w:left w:val="none" w:sz="0" w:space="0" w:color="auto"/>
        <w:bottom w:val="none" w:sz="0" w:space="0" w:color="auto"/>
        <w:right w:val="none" w:sz="0" w:space="0" w:color="auto"/>
      </w:divBdr>
    </w:div>
    <w:div w:id="1372194069">
      <w:bodyDiv w:val="1"/>
      <w:marLeft w:val="0"/>
      <w:marRight w:val="0"/>
      <w:marTop w:val="0"/>
      <w:marBottom w:val="0"/>
      <w:divBdr>
        <w:top w:val="none" w:sz="0" w:space="0" w:color="auto"/>
        <w:left w:val="none" w:sz="0" w:space="0" w:color="auto"/>
        <w:bottom w:val="none" w:sz="0" w:space="0" w:color="auto"/>
        <w:right w:val="none" w:sz="0" w:space="0" w:color="auto"/>
      </w:divBdr>
    </w:div>
    <w:div w:id="1372998251">
      <w:bodyDiv w:val="1"/>
      <w:marLeft w:val="0"/>
      <w:marRight w:val="0"/>
      <w:marTop w:val="0"/>
      <w:marBottom w:val="0"/>
      <w:divBdr>
        <w:top w:val="none" w:sz="0" w:space="0" w:color="auto"/>
        <w:left w:val="none" w:sz="0" w:space="0" w:color="auto"/>
        <w:bottom w:val="none" w:sz="0" w:space="0" w:color="auto"/>
        <w:right w:val="none" w:sz="0" w:space="0" w:color="auto"/>
      </w:divBdr>
    </w:div>
    <w:div w:id="1375616183">
      <w:bodyDiv w:val="1"/>
      <w:marLeft w:val="0"/>
      <w:marRight w:val="0"/>
      <w:marTop w:val="0"/>
      <w:marBottom w:val="0"/>
      <w:divBdr>
        <w:top w:val="none" w:sz="0" w:space="0" w:color="auto"/>
        <w:left w:val="none" w:sz="0" w:space="0" w:color="auto"/>
        <w:bottom w:val="none" w:sz="0" w:space="0" w:color="auto"/>
        <w:right w:val="none" w:sz="0" w:space="0" w:color="auto"/>
      </w:divBdr>
    </w:div>
    <w:div w:id="1379084567">
      <w:bodyDiv w:val="1"/>
      <w:marLeft w:val="0"/>
      <w:marRight w:val="0"/>
      <w:marTop w:val="0"/>
      <w:marBottom w:val="0"/>
      <w:divBdr>
        <w:top w:val="none" w:sz="0" w:space="0" w:color="auto"/>
        <w:left w:val="none" w:sz="0" w:space="0" w:color="auto"/>
        <w:bottom w:val="none" w:sz="0" w:space="0" w:color="auto"/>
        <w:right w:val="none" w:sz="0" w:space="0" w:color="auto"/>
      </w:divBdr>
    </w:div>
    <w:div w:id="1379554175">
      <w:bodyDiv w:val="1"/>
      <w:marLeft w:val="0"/>
      <w:marRight w:val="0"/>
      <w:marTop w:val="0"/>
      <w:marBottom w:val="0"/>
      <w:divBdr>
        <w:top w:val="none" w:sz="0" w:space="0" w:color="auto"/>
        <w:left w:val="none" w:sz="0" w:space="0" w:color="auto"/>
        <w:bottom w:val="none" w:sz="0" w:space="0" w:color="auto"/>
        <w:right w:val="none" w:sz="0" w:space="0" w:color="auto"/>
      </w:divBdr>
    </w:div>
    <w:div w:id="1380397647">
      <w:bodyDiv w:val="1"/>
      <w:marLeft w:val="0"/>
      <w:marRight w:val="0"/>
      <w:marTop w:val="0"/>
      <w:marBottom w:val="0"/>
      <w:divBdr>
        <w:top w:val="none" w:sz="0" w:space="0" w:color="auto"/>
        <w:left w:val="none" w:sz="0" w:space="0" w:color="auto"/>
        <w:bottom w:val="none" w:sz="0" w:space="0" w:color="auto"/>
        <w:right w:val="none" w:sz="0" w:space="0" w:color="auto"/>
      </w:divBdr>
    </w:div>
    <w:div w:id="1380548438">
      <w:bodyDiv w:val="1"/>
      <w:marLeft w:val="0"/>
      <w:marRight w:val="0"/>
      <w:marTop w:val="0"/>
      <w:marBottom w:val="0"/>
      <w:divBdr>
        <w:top w:val="none" w:sz="0" w:space="0" w:color="auto"/>
        <w:left w:val="none" w:sz="0" w:space="0" w:color="auto"/>
        <w:bottom w:val="none" w:sz="0" w:space="0" w:color="auto"/>
        <w:right w:val="none" w:sz="0" w:space="0" w:color="auto"/>
      </w:divBdr>
    </w:div>
    <w:div w:id="1398162786">
      <w:bodyDiv w:val="1"/>
      <w:marLeft w:val="0"/>
      <w:marRight w:val="0"/>
      <w:marTop w:val="0"/>
      <w:marBottom w:val="0"/>
      <w:divBdr>
        <w:top w:val="none" w:sz="0" w:space="0" w:color="auto"/>
        <w:left w:val="none" w:sz="0" w:space="0" w:color="auto"/>
        <w:bottom w:val="none" w:sz="0" w:space="0" w:color="auto"/>
        <w:right w:val="none" w:sz="0" w:space="0" w:color="auto"/>
      </w:divBdr>
    </w:div>
    <w:div w:id="1401364125">
      <w:bodyDiv w:val="1"/>
      <w:marLeft w:val="0"/>
      <w:marRight w:val="0"/>
      <w:marTop w:val="0"/>
      <w:marBottom w:val="0"/>
      <w:divBdr>
        <w:top w:val="none" w:sz="0" w:space="0" w:color="auto"/>
        <w:left w:val="none" w:sz="0" w:space="0" w:color="auto"/>
        <w:bottom w:val="none" w:sz="0" w:space="0" w:color="auto"/>
        <w:right w:val="none" w:sz="0" w:space="0" w:color="auto"/>
      </w:divBdr>
    </w:div>
    <w:div w:id="1401631801">
      <w:bodyDiv w:val="1"/>
      <w:marLeft w:val="0"/>
      <w:marRight w:val="0"/>
      <w:marTop w:val="0"/>
      <w:marBottom w:val="0"/>
      <w:divBdr>
        <w:top w:val="none" w:sz="0" w:space="0" w:color="auto"/>
        <w:left w:val="none" w:sz="0" w:space="0" w:color="auto"/>
        <w:bottom w:val="none" w:sz="0" w:space="0" w:color="auto"/>
        <w:right w:val="none" w:sz="0" w:space="0" w:color="auto"/>
      </w:divBdr>
    </w:div>
    <w:div w:id="1403915699">
      <w:bodyDiv w:val="1"/>
      <w:marLeft w:val="0"/>
      <w:marRight w:val="0"/>
      <w:marTop w:val="0"/>
      <w:marBottom w:val="0"/>
      <w:divBdr>
        <w:top w:val="none" w:sz="0" w:space="0" w:color="auto"/>
        <w:left w:val="none" w:sz="0" w:space="0" w:color="auto"/>
        <w:bottom w:val="none" w:sz="0" w:space="0" w:color="auto"/>
        <w:right w:val="none" w:sz="0" w:space="0" w:color="auto"/>
      </w:divBdr>
    </w:div>
    <w:div w:id="1407266103">
      <w:bodyDiv w:val="1"/>
      <w:marLeft w:val="0"/>
      <w:marRight w:val="0"/>
      <w:marTop w:val="0"/>
      <w:marBottom w:val="0"/>
      <w:divBdr>
        <w:top w:val="none" w:sz="0" w:space="0" w:color="auto"/>
        <w:left w:val="none" w:sz="0" w:space="0" w:color="auto"/>
        <w:bottom w:val="none" w:sz="0" w:space="0" w:color="auto"/>
        <w:right w:val="none" w:sz="0" w:space="0" w:color="auto"/>
      </w:divBdr>
    </w:div>
    <w:div w:id="1407992641">
      <w:bodyDiv w:val="1"/>
      <w:marLeft w:val="0"/>
      <w:marRight w:val="0"/>
      <w:marTop w:val="0"/>
      <w:marBottom w:val="0"/>
      <w:divBdr>
        <w:top w:val="none" w:sz="0" w:space="0" w:color="auto"/>
        <w:left w:val="none" w:sz="0" w:space="0" w:color="auto"/>
        <w:bottom w:val="none" w:sz="0" w:space="0" w:color="auto"/>
        <w:right w:val="none" w:sz="0" w:space="0" w:color="auto"/>
      </w:divBdr>
    </w:div>
    <w:div w:id="1414931829">
      <w:bodyDiv w:val="1"/>
      <w:marLeft w:val="0"/>
      <w:marRight w:val="0"/>
      <w:marTop w:val="0"/>
      <w:marBottom w:val="0"/>
      <w:divBdr>
        <w:top w:val="none" w:sz="0" w:space="0" w:color="auto"/>
        <w:left w:val="none" w:sz="0" w:space="0" w:color="auto"/>
        <w:bottom w:val="none" w:sz="0" w:space="0" w:color="auto"/>
        <w:right w:val="none" w:sz="0" w:space="0" w:color="auto"/>
      </w:divBdr>
    </w:div>
    <w:div w:id="1417895043">
      <w:bodyDiv w:val="1"/>
      <w:marLeft w:val="0"/>
      <w:marRight w:val="0"/>
      <w:marTop w:val="0"/>
      <w:marBottom w:val="0"/>
      <w:divBdr>
        <w:top w:val="none" w:sz="0" w:space="0" w:color="auto"/>
        <w:left w:val="none" w:sz="0" w:space="0" w:color="auto"/>
        <w:bottom w:val="none" w:sz="0" w:space="0" w:color="auto"/>
        <w:right w:val="none" w:sz="0" w:space="0" w:color="auto"/>
      </w:divBdr>
    </w:div>
    <w:div w:id="1422138587">
      <w:bodyDiv w:val="1"/>
      <w:marLeft w:val="0"/>
      <w:marRight w:val="0"/>
      <w:marTop w:val="0"/>
      <w:marBottom w:val="0"/>
      <w:divBdr>
        <w:top w:val="none" w:sz="0" w:space="0" w:color="auto"/>
        <w:left w:val="none" w:sz="0" w:space="0" w:color="auto"/>
        <w:bottom w:val="none" w:sz="0" w:space="0" w:color="auto"/>
        <w:right w:val="none" w:sz="0" w:space="0" w:color="auto"/>
      </w:divBdr>
    </w:div>
    <w:div w:id="1425229797">
      <w:bodyDiv w:val="1"/>
      <w:marLeft w:val="0"/>
      <w:marRight w:val="0"/>
      <w:marTop w:val="0"/>
      <w:marBottom w:val="0"/>
      <w:divBdr>
        <w:top w:val="none" w:sz="0" w:space="0" w:color="auto"/>
        <w:left w:val="none" w:sz="0" w:space="0" w:color="auto"/>
        <w:bottom w:val="none" w:sz="0" w:space="0" w:color="auto"/>
        <w:right w:val="none" w:sz="0" w:space="0" w:color="auto"/>
      </w:divBdr>
    </w:div>
    <w:div w:id="1427577861">
      <w:bodyDiv w:val="1"/>
      <w:marLeft w:val="0"/>
      <w:marRight w:val="0"/>
      <w:marTop w:val="0"/>
      <w:marBottom w:val="0"/>
      <w:divBdr>
        <w:top w:val="none" w:sz="0" w:space="0" w:color="auto"/>
        <w:left w:val="none" w:sz="0" w:space="0" w:color="auto"/>
        <w:bottom w:val="none" w:sz="0" w:space="0" w:color="auto"/>
        <w:right w:val="none" w:sz="0" w:space="0" w:color="auto"/>
      </w:divBdr>
    </w:div>
    <w:div w:id="1428188310">
      <w:bodyDiv w:val="1"/>
      <w:marLeft w:val="0"/>
      <w:marRight w:val="0"/>
      <w:marTop w:val="0"/>
      <w:marBottom w:val="0"/>
      <w:divBdr>
        <w:top w:val="none" w:sz="0" w:space="0" w:color="auto"/>
        <w:left w:val="none" w:sz="0" w:space="0" w:color="auto"/>
        <w:bottom w:val="none" w:sz="0" w:space="0" w:color="auto"/>
        <w:right w:val="none" w:sz="0" w:space="0" w:color="auto"/>
      </w:divBdr>
    </w:div>
    <w:div w:id="1436826027">
      <w:bodyDiv w:val="1"/>
      <w:marLeft w:val="0"/>
      <w:marRight w:val="0"/>
      <w:marTop w:val="0"/>
      <w:marBottom w:val="0"/>
      <w:divBdr>
        <w:top w:val="none" w:sz="0" w:space="0" w:color="auto"/>
        <w:left w:val="none" w:sz="0" w:space="0" w:color="auto"/>
        <w:bottom w:val="none" w:sz="0" w:space="0" w:color="auto"/>
        <w:right w:val="none" w:sz="0" w:space="0" w:color="auto"/>
      </w:divBdr>
    </w:div>
    <w:div w:id="1438672877">
      <w:bodyDiv w:val="1"/>
      <w:marLeft w:val="0"/>
      <w:marRight w:val="0"/>
      <w:marTop w:val="0"/>
      <w:marBottom w:val="0"/>
      <w:divBdr>
        <w:top w:val="none" w:sz="0" w:space="0" w:color="auto"/>
        <w:left w:val="none" w:sz="0" w:space="0" w:color="auto"/>
        <w:bottom w:val="none" w:sz="0" w:space="0" w:color="auto"/>
        <w:right w:val="none" w:sz="0" w:space="0" w:color="auto"/>
      </w:divBdr>
    </w:div>
    <w:div w:id="1445152137">
      <w:bodyDiv w:val="1"/>
      <w:marLeft w:val="0"/>
      <w:marRight w:val="0"/>
      <w:marTop w:val="0"/>
      <w:marBottom w:val="0"/>
      <w:divBdr>
        <w:top w:val="none" w:sz="0" w:space="0" w:color="auto"/>
        <w:left w:val="none" w:sz="0" w:space="0" w:color="auto"/>
        <w:bottom w:val="none" w:sz="0" w:space="0" w:color="auto"/>
        <w:right w:val="none" w:sz="0" w:space="0" w:color="auto"/>
      </w:divBdr>
    </w:div>
    <w:div w:id="1445463276">
      <w:bodyDiv w:val="1"/>
      <w:marLeft w:val="0"/>
      <w:marRight w:val="0"/>
      <w:marTop w:val="0"/>
      <w:marBottom w:val="0"/>
      <w:divBdr>
        <w:top w:val="none" w:sz="0" w:space="0" w:color="auto"/>
        <w:left w:val="none" w:sz="0" w:space="0" w:color="auto"/>
        <w:bottom w:val="none" w:sz="0" w:space="0" w:color="auto"/>
        <w:right w:val="none" w:sz="0" w:space="0" w:color="auto"/>
      </w:divBdr>
    </w:div>
    <w:div w:id="1449858017">
      <w:bodyDiv w:val="1"/>
      <w:marLeft w:val="0"/>
      <w:marRight w:val="0"/>
      <w:marTop w:val="0"/>
      <w:marBottom w:val="0"/>
      <w:divBdr>
        <w:top w:val="none" w:sz="0" w:space="0" w:color="auto"/>
        <w:left w:val="none" w:sz="0" w:space="0" w:color="auto"/>
        <w:bottom w:val="none" w:sz="0" w:space="0" w:color="auto"/>
        <w:right w:val="none" w:sz="0" w:space="0" w:color="auto"/>
      </w:divBdr>
    </w:div>
    <w:div w:id="1450540409">
      <w:bodyDiv w:val="1"/>
      <w:marLeft w:val="0"/>
      <w:marRight w:val="0"/>
      <w:marTop w:val="0"/>
      <w:marBottom w:val="0"/>
      <w:divBdr>
        <w:top w:val="none" w:sz="0" w:space="0" w:color="auto"/>
        <w:left w:val="none" w:sz="0" w:space="0" w:color="auto"/>
        <w:bottom w:val="none" w:sz="0" w:space="0" w:color="auto"/>
        <w:right w:val="none" w:sz="0" w:space="0" w:color="auto"/>
      </w:divBdr>
    </w:div>
    <w:div w:id="1452549451">
      <w:bodyDiv w:val="1"/>
      <w:marLeft w:val="0"/>
      <w:marRight w:val="0"/>
      <w:marTop w:val="0"/>
      <w:marBottom w:val="0"/>
      <w:divBdr>
        <w:top w:val="none" w:sz="0" w:space="0" w:color="auto"/>
        <w:left w:val="none" w:sz="0" w:space="0" w:color="auto"/>
        <w:bottom w:val="none" w:sz="0" w:space="0" w:color="auto"/>
        <w:right w:val="none" w:sz="0" w:space="0" w:color="auto"/>
      </w:divBdr>
    </w:div>
    <w:div w:id="1455708202">
      <w:bodyDiv w:val="1"/>
      <w:marLeft w:val="0"/>
      <w:marRight w:val="0"/>
      <w:marTop w:val="0"/>
      <w:marBottom w:val="0"/>
      <w:divBdr>
        <w:top w:val="none" w:sz="0" w:space="0" w:color="auto"/>
        <w:left w:val="none" w:sz="0" w:space="0" w:color="auto"/>
        <w:bottom w:val="none" w:sz="0" w:space="0" w:color="auto"/>
        <w:right w:val="none" w:sz="0" w:space="0" w:color="auto"/>
      </w:divBdr>
    </w:div>
    <w:div w:id="1456825015">
      <w:bodyDiv w:val="1"/>
      <w:marLeft w:val="0"/>
      <w:marRight w:val="0"/>
      <w:marTop w:val="0"/>
      <w:marBottom w:val="0"/>
      <w:divBdr>
        <w:top w:val="none" w:sz="0" w:space="0" w:color="auto"/>
        <w:left w:val="none" w:sz="0" w:space="0" w:color="auto"/>
        <w:bottom w:val="none" w:sz="0" w:space="0" w:color="auto"/>
        <w:right w:val="none" w:sz="0" w:space="0" w:color="auto"/>
      </w:divBdr>
    </w:div>
    <w:div w:id="1461800506">
      <w:bodyDiv w:val="1"/>
      <w:marLeft w:val="0"/>
      <w:marRight w:val="0"/>
      <w:marTop w:val="0"/>
      <w:marBottom w:val="0"/>
      <w:divBdr>
        <w:top w:val="none" w:sz="0" w:space="0" w:color="auto"/>
        <w:left w:val="none" w:sz="0" w:space="0" w:color="auto"/>
        <w:bottom w:val="none" w:sz="0" w:space="0" w:color="auto"/>
        <w:right w:val="none" w:sz="0" w:space="0" w:color="auto"/>
      </w:divBdr>
    </w:div>
    <w:div w:id="1464301632">
      <w:bodyDiv w:val="1"/>
      <w:marLeft w:val="0"/>
      <w:marRight w:val="0"/>
      <w:marTop w:val="0"/>
      <w:marBottom w:val="0"/>
      <w:divBdr>
        <w:top w:val="none" w:sz="0" w:space="0" w:color="auto"/>
        <w:left w:val="none" w:sz="0" w:space="0" w:color="auto"/>
        <w:bottom w:val="none" w:sz="0" w:space="0" w:color="auto"/>
        <w:right w:val="none" w:sz="0" w:space="0" w:color="auto"/>
      </w:divBdr>
    </w:div>
    <w:div w:id="1466511594">
      <w:bodyDiv w:val="1"/>
      <w:marLeft w:val="0"/>
      <w:marRight w:val="0"/>
      <w:marTop w:val="0"/>
      <w:marBottom w:val="0"/>
      <w:divBdr>
        <w:top w:val="none" w:sz="0" w:space="0" w:color="auto"/>
        <w:left w:val="none" w:sz="0" w:space="0" w:color="auto"/>
        <w:bottom w:val="none" w:sz="0" w:space="0" w:color="auto"/>
        <w:right w:val="none" w:sz="0" w:space="0" w:color="auto"/>
      </w:divBdr>
    </w:div>
    <w:div w:id="1467309862">
      <w:bodyDiv w:val="1"/>
      <w:marLeft w:val="0"/>
      <w:marRight w:val="0"/>
      <w:marTop w:val="0"/>
      <w:marBottom w:val="0"/>
      <w:divBdr>
        <w:top w:val="none" w:sz="0" w:space="0" w:color="auto"/>
        <w:left w:val="none" w:sz="0" w:space="0" w:color="auto"/>
        <w:bottom w:val="none" w:sz="0" w:space="0" w:color="auto"/>
        <w:right w:val="none" w:sz="0" w:space="0" w:color="auto"/>
      </w:divBdr>
    </w:div>
    <w:div w:id="1468667941">
      <w:bodyDiv w:val="1"/>
      <w:marLeft w:val="0"/>
      <w:marRight w:val="0"/>
      <w:marTop w:val="0"/>
      <w:marBottom w:val="0"/>
      <w:divBdr>
        <w:top w:val="none" w:sz="0" w:space="0" w:color="auto"/>
        <w:left w:val="none" w:sz="0" w:space="0" w:color="auto"/>
        <w:bottom w:val="none" w:sz="0" w:space="0" w:color="auto"/>
        <w:right w:val="none" w:sz="0" w:space="0" w:color="auto"/>
      </w:divBdr>
    </w:div>
    <w:div w:id="1477916735">
      <w:bodyDiv w:val="1"/>
      <w:marLeft w:val="0"/>
      <w:marRight w:val="0"/>
      <w:marTop w:val="0"/>
      <w:marBottom w:val="0"/>
      <w:divBdr>
        <w:top w:val="none" w:sz="0" w:space="0" w:color="auto"/>
        <w:left w:val="none" w:sz="0" w:space="0" w:color="auto"/>
        <w:bottom w:val="none" w:sz="0" w:space="0" w:color="auto"/>
        <w:right w:val="none" w:sz="0" w:space="0" w:color="auto"/>
      </w:divBdr>
    </w:div>
    <w:div w:id="1480030187">
      <w:bodyDiv w:val="1"/>
      <w:marLeft w:val="0"/>
      <w:marRight w:val="0"/>
      <w:marTop w:val="0"/>
      <w:marBottom w:val="0"/>
      <w:divBdr>
        <w:top w:val="none" w:sz="0" w:space="0" w:color="auto"/>
        <w:left w:val="none" w:sz="0" w:space="0" w:color="auto"/>
        <w:bottom w:val="none" w:sz="0" w:space="0" w:color="auto"/>
        <w:right w:val="none" w:sz="0" w:space="0" w:color="auto"/>
      </w:divBdr>
    </w:div>
    <w:div w:id="1480263491">
      <w:bodyDiv w:val="1"/>
      <w:marLeft w:val="0"/>
      <w:marRight w:val="0"/>
      <w:marTop w:val="0"/>
      <w:marBottom w:val="0"/>
      <w:divBdr>
        <w:top w:val="none" w:sz="0" w:space="0" w:color="auto"/>
        <w:left w:val="none" w:sz="0" w:space="0" w:color="auto"/>
        <w:bottom w:val="none" w:sz="0" w:space="0" w:color="auto"/>
        <w:right w:val="none" w:sz="0" w:space="0" w:color="auto"/>
      </w:divBdr>
    </w:div>
    <w:div w:id="1482238307">
      <w:bodyDiv w:val="1"/>
      <w:marLeft w:val="0"/>
      <w:marRight w:val="0"/>
      <w:marTop w:val="0"/>
      <w:marBottom w:val="0"/>
      <w:divBdr>
        <w:top w:val="none" w:sz="0" w:space="0" w:color="auto"/>
        <w:left w:val="none" w:sz="0" w:space="0" w:color="auto"/>
        <w:bottom w:val="none" w:sz="0" w:space="0" w:color="auto"/>
        <w:right w:val="none" w:sz="0" w:space="0" w:color="auto"/>
      </w:divBdr>
    </w:div>
    <w:div w:id="1491290454">
      <w:bodyDiv w:val="1"/>
      <w:marLeft w:val="0"/>
      <w:marRight w:val="0"/>
      <w:marTop w:val="0"/>
      <w:marBottom w:val="0"/>
      <w:divBdr>
        <w:top w:val="none" w:sz="0" w:space="0" w:color="auto"/>
        <w:left w:val="none" w:sz="0" w:space="0" w:color="auto"/>
        <w:bottom w:val="none" w:sz="0" w:space="0" w:color="auto"/>
        <w:right w:val="none" w:sz="0" w:space="0" w:color="auto"/>
      </w:divBdr>
    </w:div>
    <w:div w:id="1497649229">
      <w:bodyDiv w:val="1"/>
      <w:marLeft w:val="0"/>
      <w:marRight w:val="0"/>
      <w:marTop w:val="0"/>
      <w:marBottom w:val="0"/>
      <w:divBdr>
        <w:top w:val="none" w:sz="0" w:space="0" w:color="auto"/>
        <w:left w:val="none" w:sz="0" w:space="0" w:color="auto"/>
        <w:bottom w:val="none" w:sz="0" w:space="0" w:color="auto"/>
        <w:right w:val="none" w:sz="0" w:space="0" w:color="auto"/>
      </w:divBdr>
    </w:div>
    <w:div w:id="1498426271">
      <w:bodyDiv w:val="1"/>
      <w:marLeft w:val="0"/>
      <w:marRight w:val="0"/>
      <w:marTop w:val="0"/>
      <w:marBottom w:val="0"/>
      <w:divBdr>
        <w:top w:val="none" w:sz="0" w:space="0" w:color="auto"/>
        <w:left w:val="none" w:sz="0" w:space="0" w:color="auto"/>
        <w:bottom w:val="none" w:sz="0" w:space="0" w:color="auto"/>
        <w:right w:val="none" w:sz="0" w:space="0" w:color="auto"/>
      </w:divBdr>
    </w:div>
    <w:div w:id="1499535503">
      <w:bodyDiv w:val="1"/>
      <w:marLeft w:val="0"/>
      <w:marRight w:val="0"/>
      <w:marTop w:val="0"/>
      <w:marBottom w:val="0"/>
      <w:divBdr>
        <w:top w:val="none" w:sz="0" w:space="0" w:color="auto"/>
        <w:left w:val="none" w:sz="0" w:space="0" w:color="auto"/>
        <w:bottom w:val="none" w:sz="0" w:space="0" w:color="auto"/>
        <w:right w:val="none" w:sz="0" w:space="0" w:color="auto"/>
      </w:divBdr>
    </w:div>
    <w:div w:id="1499812023">
      <w:bodyDiv w:val="1"/>
      <w:marLeft w:val="0"/>
      <w:marRight w:val="0"/>
      <w:marTop w:val="0"/>
      <w:marBottom w:val="0"/>
      <w:divBdr>
        <w:top w:val="none" w:sz="0" w:space="0" w:color="auto"/>
        <w:left w:val="none" w:sz="0" w:space="0" w:color="auto"/>
        <w:bottom w:val="none" w:sz="0" w:space="0" w:color="auto"/>
        <w:right w:val="none" w:sz="0" w:space="0" w:color="auto"/>
      </w:divBdr>
    </w:div>
    <w:div w:id="1508669235">
      <w:bodyDiv w:val="1"/>
      <w:marLeft w:val="0"/>
      <w:marRight w:val="0"/>
      <w:marTop w:val="0"/>
      <w:marBottom w:val="0"/>
      <w:divBdr>
        <w:top w:val="none" w:sz="0" w:space="0" w:color="auto"/>
        <w:left w:val="none" w:sz="0" w:space="0" w:color="auto"/>
        <w:bottom w:val="none" w:sz="0" w:space="0" w:color="auto"/>
        <w:right w:val="none" w:sz="0" w:space="0" w:color="auto"/>
      </w:divBdr>
    </w:div>
    <w:div w:id="1520705443">
      <w:bodyDiv w:val="1"/>
      <w:marLeft w:val="0"/>
      <w:marRight w:val="0"/>
      <w:marTop w:val="0"/>
      <w:marBottom w:val="0"/>
      <w:divBdr>
        <w:top w:val="none" w:sz="0" w:space="0" w:color="auto"/>
        <w:left w:val="none" w:sz="0" w:space="0" w:color="auto"/>
        <w:bottom w:val="none" w:sz="0" w:space="0" w:color="auto"/>
        <w:right w:val="none" w:sz="0" w:space="0" w:color="auto"/>
      </w:divBdr>
    </w:div>
    <w:div w:id="1526359242">
      <w:bodyDiv w:val="1"/>
      <w:marLeft w:val="0"/>
      <w:marRight w:val="0"/>
      <w:marTop w:val="0"/>
      <w:marBottom w:val="0"/>
      <w:divBdr>
        <w:top w:val="none" w:sz="0" w:space="0" w:color="auto"/>
        <w:left w:val="none" w:sz="0" w:space="0" w:color="auto"/>
        <w:bottom w:val="none" w:sz="0" w:space="0" w:color="auto"/>
        <w:right w:val="none" w:sz="0" w:space="0" w:color="auto"/>
      </w:divBdr>
    </w:div>
    <w:div w:id="1526676051">
      <w:bodyDiv w:val="1"/>
      <w:marLeft w:val="0"/>
      <w:marRight w:val="0"/>
      <w:marTop w:val="0"/>
      <w:marBottom w:val="0"/>
      <w:divBdr>
        <w:top w:val="none" w:sz="0" w:space="0" w:color="auto"/>
        <w:left w:val="none" w:sz="0" w:space="0" w:color="auto"/>
        <w:bottom w:val="none" w:sz="0" w:space="0" w:color="auto"/>
        <w:right w:val="none" w:sz="0" w:space="0" w:color="auto"/>
      </w:divBdr>
    </w:div>
    <w:div w:id="1527717794">
      <w:bodyDiv w:val="1"/>
      <w:marLeft w:val="0"/>
      <w:marRight w:val="0"/>
      <w:marTop w:val="0"/>
      <w:marBottom w:val="0"/>
      <w:divBdr>
        <w:top w:val="none" w:sz="0" w:space="0" w:color="auto"/>
        <w:left w:val="none" w:sz="0" w:space="0" w:color="auto"/>
        <w:bottom w:val="none" w:sz="0" w:space="0" w:color="auto"/>
        <w:right w:val="none" w:sz="0" w:space="0" w:color="auto"/>
      </w:divBdr>
    </w:div>
    <w:div w:id="1531411962">
      <w:bodyDiv w:val="1"/>
      <w:marLeft w:val="0"/>
      <w:marRight w:val="0"/>
      <w:marTop w:val="0"/>
      <w:marBottom w:val="0"/>
      <w:divBdr>
        <w:top w:val="none" w:sz="0" w:space="0" w:color="auto"/>
        <w:left w:val="none" w:sz="0" w:space="0" w:color="auto"/>
        <w:bottom w:val="none" w:sz="0" w:space="0" w:color="auto"/>
        <w:right w:val="none" w:sz="0" w:space="0" w:color="auto"/>
      </w:divBdr>
    </w:div>
    <w:div w:id="1533810580">
      <w:bodyDiv w:val="1"/>
      <w:marLeft w:val="0"/>
      <w:marRight w:val="0"/>
      <w:marTop w:val="0"/>
      <w:marBottom w:val="0"/>
      <w:divBdr>
        <w:top w:val="none" w:sz="0" w:space="0" w:color="auto"/>
        <w:left w:val="none" w:sz="0" w:space="0" w:color="auto"/>
        <w:bottom w:val="none" w:sz="0" w:space="0" w:color="auto"/>
        <w:right w:val="none" w:sz="0" w:space="0" w:color="auto"/>
      </w:divBdr>
    </w:div>
    <w:div w:id="1534729350">
      <w:bodyDiv w:val="1"/>
      <w:marLeft w:val="0"/>
      <w:marRight w:val="0"/>
      <w:marTop w:val="0"/>
      <w:marBottom w:val="0"/>
      <w:divBdr>
        <w:top w:val="none" w:sz="0" w:space="0" w:color="auto"/>
        <w:left w:val="none" w:sz="0" w:space="0" w:color="auto"/>
        <w:bottom w:val="none" w:sz="0" w:space="0" w:color="auto"/>
        <w:right w:val="none" w:sz="0" w:space="0" w:color="auto"/>
      </w:divBdr>
    </w:div>
    <w:div w:id="1545485759">
      <w:bodyDiv w:val="1"/>
      <w:marLeft w:val="0"/>
      <w:marRight w:val="0"/>
      <w:marTop w:val="0"/>
      <w:marBottom w:val="0"/>
      <w:divBdr>
        <w:top w:val="none" w:sz="0" w:space="0" w:color="auto"/>
        <w:left w:val="none" w:sz="0" w:space="0" w:color="auto"/>
        <w:bottom w:val="none" w:sz="0" w:space="0" w:color="auto"/>
        <w:right w:val="none" w:sz="0" w:space="0" w:color="auto"/>
      </w:divBdr>
    </w:div>
    <w:div w:id="1545560446">
      <w:bodyDiv w:val="1"/>
      <w:marLeft w:val="0"/>
      <w:marRight w:val="0"/>
      <w:marTop w:val="0"/>
      <w:marBottom w:val="0"/>
      <w:divBdr>
        <w:top w:val="none" w:sz="0" w:space="0" w:color="auto"/>
        <w:left w:val="none" w:sz="0" w:space="0" w:color="auto"/>
        <w:bottom w:val="none" w:sz="0" w:space="0" w:color="auto"/>
        <w:right w:val="none" w:sz="0" w:space="0" w:color="auto"/>
      </w:divBdr>
    </w:div>
    <w:div w:id="1546528508">
      <w:bodyDiv w:val="1"/>
      <w:marLeft w:val="0"/>
      <w:marRight w:val="0"/>
      <w:marTop w:val="0"/>
      <w:marBottom w:val="0"/>
      <w:divBdr>
        <w:top w:val="none" w:sz="0" w:space="0" w:color="auto"/>
        <w:left w:val="none" w:sz="0" w:space="0" w:color="auto"/>
        <w:bottom w:val="none" w:sz="0" w:space="0" w:color="auto"/>
        <w:right w:val="none" w:sz="0" w:space="0" w:color="auto"/>
      </w:divBdr>
    </w:div>
    <w:div w:id="1548950810">
      <w:bodyDiv w:val="1"/>
      <w:marLeft w:val="0"/>
      <w:marRight w:val="0"/>
      <w:marTop w:val="0"/>
      <w:marBottom w:val="0"/>
      <w:divBdr>
        <w:top w:val="none" w:sz="0" w:space="0" w:color="auto"/>
        <w:left w:val="none" w:sz="0" w:space="0" w:color="auto"/>
        <w:bottom w:val="none" w:sz="0" w:space="0" w:color="auto"/>
        <w:right w:val="none" w:sz="0" w:space="0" w:color="auto"/>
      </w:divBdr>
    </w:div>
    <w:div w:id="1566065929">
      <w:bodyDiv w:val="1"/>
      <w:marLeft w:val="0"/>
      <w:marRight w:val="0"/>
      <w:marTop w:val="0"/>
      <w:marBottom w:val="0"/>
      <w:divBdr>
        <w:top w:val="none" w:sz="0" w:space="0" w:color="auto"/>
        <w:left w:val="none" w:sz="0" w:space="0" w:color="auto"/>
        <w:bottom w:val="none" w:sz="0" w:space="0" w:color="auto"/>
        <w:right w:val="none" w:sz="0" w:space="0" w:color="auto"/>
      </w:divBdr>
    </w:div>
    <w:div w:id="1566646807">
      <w:bodyDiv w:val="1"/>
      <w:marLeft w:val="0"/>
      <w:marRight w:val="0"/>
      <w:marTop w:val="0"/>
      <w:marBottom w:val="0"/>
      <w:divBdr>
        <w:top w:val="none" w:sz="0" w:space="0" w:color="auto"/>
        <w:left w:val="none" w:sz="0" w:space="0" w:color="auto"/>
        <w:bottom w:val="none" w:sz="0" w:space="0" w:color="auto"/>
        <w:right w:val="none" w:sz="0" w:space="0" w:color="auto"/>
      </w:divBdr>
    </w:div>
    <w:div w:id="1567718290">
      <w:bodyDiv w:val="1"/>
      <w:marLeft w:val="0"/>
      <w:marRight w:val="0"/>
      <w:marTop w:val="0"/>
      <w:marBottom w:val="0"/>
      <w:divBdr>
        <w:top w:val="none" w:sz="0" w:space="0" w:color="auto"/>
        <w:left w:val="none" w:sz="0" w:space="0" w:color="auto"/>
        <w:bottom w:val="none" w:sz="0" w:space="0" w:color="auto"/>
        <w:right w:val="none" w:sz="0" w:space="0" w:color="auto"/>
      </w:divBdr>
    </w:div>
    <w:div w:id="1568952242">
      <w:bodyDiv w:val="1"/>
      <w:marLeft w:val="0"/>
      <w:marRight w:val="0"/>
      <w:marTop w:val="0"/>
      <w:marBottom w:val="0"/>
      <w:divBdr>
        <w:top w:val="none" w:sz="0" w:space="0" w:color="auto"/>
        <w:left w:val="none" w:sz="0" w:space="0" w:color="auto"/>
        <w:bottom w:val="none" w:sz="0" w:space="0" w:color="auto"/>
        <w:right w:val="none" w:sz="0" w:space="0" w:color="auto"/>
      </w:divBdr>
    </w:div>
    <w:div w:id="1576428152">
      <w:bodyDiv w:val="1"/>
      <w:marLeft w:val="0"/>
      <w:marRight w:val="0"/>
      <w:marTop w:val="0"/>
      <w:marBottom w:val="0"/>
      <w:divBdr>
        <w:top w:val="none" w:sz="0" w:space="0" w:color="auto"/>
        <w:left w:val="none" w:sz="0" w:space="0" w:color="auto"/>
        <w:bottom w:val="none" w:sz="0" w:space="0" w:color="auto"/>
        <w:right w:val="none" w:sz="0" w:space="0" w:color="auto"/>
      </w:divBdr>
    </w:div>
    <w:div w:id="1578784271">
      <w:bodyDiv w:val="1"/>
      <w:marLeft w:val="0"/>
      <w:marRight w:val="0"/>
      <w:marTop w:val="0"/>
      <w:marBottom w:val="0"/>
      <w:divBdr>
        <w:top w:val="none" w:sz="0" w:space="0" w:color="auto"/>
        <w:left w:val="none" w:sz="0" w:space="0" w:color="auto"/>
        <w:bottom w:val="none" w:sz="0" w:space="0" w:color="auto"/>
        <w:right w:val="none" w:sz="0" w:space="0" w:color="auto"/>
      </w:divBdr>
    </w:div>
    <w:div w:id="1583684455">
      <w:bodyDiv w:val="1"/>
      <w:marLeft w:val="0"/>
      <w:marRight w:val="0"/>
      <w:marTop w:val="0"/>
      <w:marBottom w:val="0"/>
      <w:divBdr>
        <w:top w:val="none" w:sz="0" w:space="0" w:color="auto"/>
        <w:left w:val="none" w:sz="0" w:space="0" w:color="auto"/>
        <w:bottom w:val="none" w:sz="0" w:space="0" w:color="auto"/>
        <w:right w:val="none" w:sz="0" w:space="0" w:color="auto"/>
      </w:divBdr>
    </w:div>
    <w:div w:id="1587957989">
      <w:bodyDiv w:val="1"/>
      <w:marLeft w:val="0"/>
      <w:marRight w:val="0"/>
      <w:marTop w:val="0"/>
      <w:marBottom w:val="0"/>
      <w:divBdr>
        <w:top w:val="none" w:sz="0" w:space="0" w:color="auto"/>
        <w:left w:val="none" w:sz="0" w:space="0" w:color="auto"/>
        <w:bottom w:val="none" w:sz="0" w:space="0" w:color="auto"/>
        <w:right w:val="none" w:sz="0" w:space="0" w:color="auto"/>
      </w:divBdr>
    </w:div>
    <w:div w:id="1589389261">
      <w:bodyDiv w:val="1"/>
      <w:marLeft w:val="0"/>
      <w:marRight w:val="0"/>
      <w:marTop w:val="0"/>
      <w:marBottom w:val="0"/>
      <w:divBdr>
        <w:top w:val="none" w:sz="0" w:space="0" w:color="auto"/>
        <w:left w:val="none" w:sz="0" w:space="0" w:color="auto"/>
        <w:bottom w:val="none" w:sz="0" w:space="0" w:color="auto"/>
        <w:right w:val="none" w:sz="0" w:space="0" w:color="auto"/>
      </w:divBdr>
    </w:div>
    <w:div w:id="1594626123">
      <w:bodyDiv w:val="1"/>
      <w:marLeft w:val="0"/>
      <w:marRight w:val="0"/>
      <w:marTop w:val="0"/>
      <w:marBottom w:val="0"/>
      <w:divBdr>
        <w:top w:val="none" w:sz="0" w:space="0" w:color="auto"/>
        <w:left w:val="none" w:sz="0" w:space="0" w:color="auto"/>
        <w:bottom w:val="none" w:sz="0" w:space="0" w:color="auto"/>
        <w:right w:val="none" w:sz="0" w:space="0" w:color="auto"/>
      </w:divBdr>
    </w:div>
    <w:div w:id="1594819383">
      <w:bodyDiv w:val="1"/>
      <w:marLeft w:val="0"/>
      <w:marRight w:val="0"/>
      <w:marTop w:val="0"/>
      <w:marBottom w:val="0"/>
      <w:divBdr>
        <w:top w:val="none" w:sz="0" w:space="0" w:color="auto"/>
        <w:left w:val="none" w:sz="0" w:space="0" w:color="auto"/>
        <w:bottom w:val="none" w:sz="0" w:space="0" w:color="auto"/>
        <w:right w:val="none" w:sz="0" w:space="0" w:color="auto"/>
      </w:divBdr>
    </w:div>
    <w:div w:id="1595019859">
      <w:bodyDiv w:val="1"/>
      <w:marLeft w:val="0"/>
      <w:marRight w:val="0"/>
      <w:marTop w:val="0"/>
      <w:marBottom w:val="0"/>
      <w:divBdr>
        <w:top w:val="none" w:sz="0" w:space="0" w:color="auto"/>
        <w:left w:val="none" w:sz="0" w:space="0" w:color="auto"/>
        <w:bottom w:val="none" w:sz="0" w:space="0" w:color="auto"/>
        <w:right w:val="none" w:sz="0" w:space="0" w:color="auto"/>
      </w:divBdr>
    </w:div>
    <w:div w:id="1595166371">
      <w:bodyDiv w:val="1"/>
      <w:marLeft w:val="0"/>
      <w:marRight w:val="0"/>
      <w:marTop w:val="0"/>
      <w:marBottom w:val="0"/>
      <w:divBdr>
        <w:top w:val="none" w:sz="0" w:space="0" w:color="auto"/>
        <w:left w:val="none" w:sz="0" w:space="0" w:color="auto"/>
        <w:bottom w:val="none" w:sz="0" w:space="0" w:color="auto"/>
        <w:right w:val="none" w:sz="0" w:space="0" w:color="auto"/>
      </w:divBdr>
    </w:div>
    <w:div w:id="1600093570">
      <w:bodyDiv w:val="1"/>
      <w:marLeft w:val="0"/>
      <w:marRight w:val="0"/>
      <w:marTop w:val="0"/>
      <w:marBottom w:val="0"/>
      <w:divBdr>
        <w:top w:val="none" w:sz="0" w:space="0" w:color="auto"/>
        <w:left w:val="none" w:sz="0" w:space="0" w:color="auto"/>
        <w:bottom w:val="none" w:sz="0" w:space="0" w:color="auto"/>
        <w:right w:val="none" w:sz="0" w:space="0" w:color="auto"/>
      </w:divBdr>
    </w:div>
    <w:div w:id="1600521564">
      <w:bodyDiv w:val="1"/>
      <w:marLeft w:val="0"/>
      <w:marRight w:val="0"/>
      <w:marTop w:val="0"/>
      <w:marBottom w:val="0"/>
      <w:divBdr>
        <w:top w:val="none" w:sz="0" w:space="0" w:color="auto"/>
        <w:left w:val="none" w:sz="0" w:space="0" w:color="auto"/>
        <w:bottom w:val="none" w:sz="0" w:space="0" w:color="auto"/>
        <w:right w:val="none" w:sz="0" w:space="0" w:color="auto"/>
      </w:divBdr>
    </w:div>
    <w:div w:id="1603802547">
      <w:bodyDiv w:val="1"/>
      <w:marLeft w:val="0"/>
      <w:marRight w:val="0"/>
      <w:marTop w:val="0"/>
      <w:marBottom w:val="0"/>
      <w:divBdr>
        <w:top w:val="none" w:sz="0" w:space="0" w:color="auto"/>
        <w:left w:val="none" w:sz="0" w:space="0" w:color="auto"/>
        <w:bottom w:val="none" w:sz="0" w:space="0" w:color="auto"/>
        <w:right w:val="none" w:sz="0" w:space="0" w:color="auto"/>
      </w:divBdr>
    </w:div>
    <w:div w:id="1606883594">
      <w:bodyDiv w:val="1"/>
      <w:marLeft w:val="0"/>
      <w:marRight w:val="0"/>
      <w:marTop w:val="0"/>
      <w:marBottom w:val="0"/>
      <w:divBdr>
        <w:top w:val="none" w:sz="0" w:space="0" w:color="auto"/>
        <w:left w:val="none" w:sz="0" w:space="0" w:color="auto"/>
        <w:bottom w:val="none" w:sz="0" w:space="0" w:color="auto"/>
        <w:right w:val="none" w:sz="0" w:space="0" w:color="auto"/>
      </w:divBdr>
    </w:div>
    <w:div w:id="1607344683">
      <w:bodyDiv w:val="1"/>
      <w:marLeft w:val="0"/>
      <w:marRight w:val="0"/>
      <w:marTop w:val="0"/>
      <w:marBottom w:val="0"/>
      <w:divBdr>
        <w:top w:val="none" w:sz="0" w:space="0" w:color="auto"/>
        <w:left w:val="none" w:sz="0" w:space="0" w:color="auto"/>
        <w:bottom w:val="none" w:sz="0" w:space="0" w:color="auto"/>
        <w:right w:val="none" w:sz="0" w:space="0" w:color="auto"/>
      </w:divBdr>
    </w:div>
    <w:div w:id="1608731174">
      <w:bodyDiv w:val="1"/>
      <w:marLeft w:val="0"/>
      <w:marRight w:val="0"/>
      <w:marTop w:val="0"/>
      <w:marBottom w:val="0"/>
      <w:divBdr>
        <w:top w:val="none" w:sz="0" w:space="0" w:color="auto"/>
        <w:left w:val="none" w:sz="0" w:space="0" w:color="auto"/>
        <w:bottom w:val="none" w:sz="0" w:space="0" w:color="auto"/>
        <w:right w:val="none" w:sz="0" w:space="0" w:color="auto"/>
      </w:divBdr>
    </w:div>
    <w:div w:id="1613979760">
      <w:bodyDiv w:val="1"/>
      <w:marLeft w:val="0"/>
      <w:marRight w:val="0"/>
      <w:marTop w:val="0"/>
      <w:marBottom w:val="0"/>
      <w:divBdr>
        <w:top w:val="none" w:sz="0" w:space="0" w:color="auto"/>
        <w:left w:val="none" w:sz="0" w:space="0" w:color="auto"/>
        <w:bottom w:val="none" w:sz="0" w:space="0" w:color="auto"/>
        <w:right w:val="none" w:sz="0" w:space="0" w:color="auto"/>
      </w:divBdr>
    </w:div>
    <w:div w:id="1615942315">
      <w:bodyDiv w:val="1"/>
      <w:marLeft w:val="0"/>
      <w:marRight w:val="0"/>
      <w:marTop w:val="0"/>
      <w:marBottom w:val="0"/>
      <w:divBdr>
        <w:top w:val="none" w:sz="0" w:space="0" w:color="auto"/>
        <w:left w:val="none" w:sz="0" w:space="0" w:color="auto"/>
        <w:bottom w:val="none" w:sz="0" w:space="0" w:color="auto"/>
        <w:right w:val="none" w:sz="0" w:space="0" w:color="auto"/>
      </w:divBdr>
    </w:div>
    <w:div w:id="1621959616">
      <w:bodyDiv w:val="1"/>
      <w:marLeft w:val="0"/>
      <w:marRight w:val="0"/>
      <w:marTop w:val="0"/>
      <w:marBottom w:val="0"/>
      <w:divBdr>
        <w:top w:val="none" w:sz="0" w:space="0" w:color="auto"/>
        <w:left w:val="none" w:sz="0" w:space="0" w:color="auto"/>
        <w:bottom w:val="none" w:sz="0" w:space="0" w:color="auto"/>
        <w:right w:val="none" w:sz="0" w:space="0" w:color="auto"/>
      </w:divBdr>
    </w:div>
    <w:div w:id="1623027975">
      <w:bodyDiv w:val="1"/>
      <w:marLeft w:val="0"/>
      <w:marRight w:val="0"/>
      <w:marTop w:val="0"/>
      <w:marBottom w:val="0"/>
      <w:divBdr>
        <w:top w:val="none" w:sz="0" w:space="0" w:color="auto"/>
        <w:left w:val="none" w:sz="0" w:space="0" w:color="auto"/>
        <w:bottom w:val="none" w:sz="0" w:space="0" w:color="auto"/>
        <w:right w:val="none" w:sz="0" w:space="0" w:color="auto"/>
      </w:divBdr>
    </w:div>
    <w:div w:id="1625693681">
      <w:bodyDiv w:val="1"/>
      <w:marLeft w:val="0"/>
      <w:marRight w:val="0"/>
      <w:marTop w:val="0"/>
      <w:marBottom w:val="0"/>
      <w:divBdr>
        <w:top w:val="none" w:sz="0" w:space="0" w:color="auto"/>
        <w:left w:val="none" w:sz="0" w:space="0" w:color="auto"/>
        <w:bottom w:val="none" w:sz="0" w:space="0" w:color="auto"/>
        <w:right w:val="none" w:sz="0" w:space="0" w:color="auto"/>
      </w:divBdr>
    </w:div>
    <w:div w:id="1626039179">
      <w:bodyDiv w:val="1"/>
      <w:marLeft w:val="0"/>
      <w:marRight w:val="0"/>
      <w:marTop w:val="0"/>
      <w:marBottom w:val="0"/>
      <w:divBdr>
        <w:top w:val="none" w:sz="0" w:space="0" w:color="auto"/>
        <w:left w:val="none" w:sz="0" w:space="0" w:color="auto"/>
        <w:bottom w:val="none" w:sz="0" w:space="0" w:color="auto"/>
        <w:right w:val="none" w:sz="0" w:space="0" w:color="auto"/>
      </w:divBdr>
    </w:div>
    <w:div w:id="1630478297">
      <w:bodyDiv w:val="1"/>
      <w:marLeft w:val="0"/>
      <w:marRight w:val="0"/>
      <w:marTop w:val="0"/>
      <w:marBottom w:val="0"/>
      <w:divBdr>
        <w:top w:val="none" w:sz="0" w:space="0" w:color="auto"/>
        <w:left w:val="none" w:sz="0" w:space="0" w:color="auto"/>
        <w:bottom w:val="none" w:sz="0" w:space="0" w:color="auto"/>
        <w:right w:val="none" w:sz="0" w:space="0" w:color="auto"/>
      </w:divBdr>
    </w:div>
    <w:div w:id="1634361757">
      <w:bodyDiv w:val="1"/>
      <w:marLeft w:val="0"/>
      <w:marRight w:val="0"/>
      <w:marTop w:val="0"/>
      <w:marBottom w:val="0"/>
      <w:divBdr>
        <w:top w:val="none" w:sz="0" w:space="0" w:color="auto"/>
        <w:left w:val="none" w:sz="0" w:space="0" w:color="auto"/>
        <w:bottom w:val="none" w:sz="0" w:space="0" w:color="auto"/>
        <w:right w:val="none" w:sz="0" w:space="0" w:color="auto"/>
      </w:divBdr>
    </w:div>
    <w:div w:id="1635602370">
      <w:bodyDiv w:val="1"/>
      <w:marLeft w:val="0"/>
      <w:marRight w:val="0"/>
      <w:marTop w:val="0"/>
      <w:marBottom w:val="0"/>
      <w:divBdr>
        <w:top w:val="none" w:sz="0" w:space="0" w:color="auto"/>
        <w:left w:val="none" w:sz="0" w:space="0" w:color="auto"/>
        <w:bottom w:val="none" w:sz="0" w:space="0" w:color="auto"/>
        <w:right w:val="none" w:sz="0" w:space="0" w:color="auto"/>
      </w:divBdr>
    </w:div>
    <w:div w:id="1636834425">
      <w:bodyDiv w:val="1"/>
      <w:marLeft w:val="0"/>
      <w:marRight w:val="0"/>
      <w:marTop w:val="0"/>
      <w:marBottom w:val="0"/>
      <w:divBdr>
        <w:top w:val="none" w:sz="0" w:space="0" w:color="auto"/>
        <w:left w:val="none" w:sz="0" w:space="0" w:color="auto"/>
        <w:bottom w:val="none" w:sz="0" w:space="0" w:color="auto"/>
        <w:right w:val="none" w:sz="0" w:space="0" w:color="auto"/>
      </w:divBdr>
    </w:div>
    <w:div w:id="1645967190">
      <w:bodyDiv w:val="1"/>
      <w:marLeft w:val="0"/>
      <w:marRight w:val="0"/>
      <w:marTop w:val="0"/>
      <w:marBottom w:val="0"/>
      <w:divBdr>
        <w:top w:val="none" w:sz="0" w:space="0" w:color="auto"/>
        <w:left w:val="none" w:sz="0" w:space="0" w:color="auto"/>
        <w:bottom w:val="none" w:sz="0" w:space="0" w:color="auto"/>
        <w:right w:val="none" w:sz="0" w:space="0" w:color="auto"/>
      </w:divBdr>
    </w:div>
    <w:div w:id="1648437960">
      <w:bodyDiv w:val="1"/>
      <w:marLeft w:val="0"/>
      <w:marRight w:val="0"/>
      <w:marTop w:val="0"/>
      <w:marBottom w:val="0"/>
      <w:divBdr>
        <w:top w:val="none" w:sz="0" w:space="0" w:color="auto"/>
        <w:left w:val="none" w:sz="0" w:space="0" w:color="auto"/>
        <w:bottom w:val="none" w:sz="0" w:space="0" w:color="auto"/>
        <w:right w:val="none" w:sz="0" w:space="0" w:color="auto"/>
      </w:divBdr>
    </w:div>
    <w:div w:id="1649089202">
      <w:bodyDiv w:val="1"/>
      <w:marLeft w:val="0"/>
      <w:marRight w:val="0"/>
      <w:marTop w:val="0"/>
      <w:marBottom w:val="0"/>
      <w:divBdr>
        <w:top w:val="none" w:sz="0" w:space="0" w:color="auto"/>
        <w:left w:val="none" w:sz="0" w:space="0" w:color="auto"/>
        <w:bottom w:val="none" w:sz="0" w:space="0" w:color="auto"/>
        <w:right w:val="none" w:sz="0" w:space="0" w:color="auto"/>
      </w:divBdr>
    </w:div>
    <w:div w:id="1651053754">
      <w:bodyDiv w:val="1"/>
      <w:marLeft w:val="0"/>
      <w:marRight w:val="0"/>
      <w:marTop w:val="0"/>
      <w:marBottom w:val="0"/>
      <w:divBdr>
        <w:top w:val="none" w:sz="0" w:space="0" w:color="auto"/>
        <w:left w:val="none" w:sz="0" w:space="0" w:color="auto"/>
        <w:bottom w:val="none" w:sz="0" w:space="0" w:color="auto"/>
        <w:right w:val="none" w:sz="0" w:space="0" w:color="auto"/>
      </w:divBdr>
    </w:div>
    <w:div w:id="1653019326">
      <w:bodyDiv w:val="1"/>
      <w:marLeft w:val="0"/>
      <w:marRight w:val="0"/>
      <w:marTop w:val="0"/>
      <w:marBottom w:val="0"/>
      <w:divBdr>
        <w:top w:val="none" w:sz="0" w:space="0" w:color="auto"/>
        <w:left w:val="none" w:sz="0" w:space="0" w:color="auto"/>
        <w:bottom w:val="none" w:sz="0" w:space="0" w:color="auto"/>
        <w:right w:val="none" w:sz="0" w:space="0" w:color="auto"/>
      </w:divBdr>
    </w:div>
    <w:div w:id="1657371779">
      <w:bodyDiv w:val="1"/>
      <w:marLeft w:val="0"/>
      <w:marRight w:val="0"/>
      <w:marTop w:val="0"/>
      <w:marBottom w:val="0"/>
      <w:divBdr>
        <w:top w:val="none" w:sz="0" w:space="0" w:color="auto"/>
        <w:left w:val="none" w:sz="0" w:space="0" w:color="auto"/>
        <w:bottom w:val="none" w:sz="0" w:space="0" w:color="auto"/>
        <w:right w:val="none" w:sz="0" w:space="0" w:color="auto"/>
      </w:divBdr>
    </w:div>
    <w:div w:id="1658269368">
      <w:bodyDiv w:val="1"/>
      <w:marLeft w:val="0"/>
      <w:marRight w:val="0"/>
      <w:marTop w:val="0"/>
      <w:marBottom w:val="0"/>
      <w:divBdr>
        <w:top w:val="none" w:sz="0" w:space="0" w:color="auto"/>
        <w:left w:val="none" w:sz="0" w:space="0" w:color="auto"/>
        <w:bottom w:val="none" w:sz="0" w:space="0" w:color="auto"/>
        <w:right w:val="none" w:sz="0" w:space="0" w:color="auto"/>
      </w:divBdr>
    </w:div>
    <w:div w:id="1660957004">
      <w:bodyDiv w:val="1"/>
      <w:marLeft w:val="0"/>
      <w:marRight w:val="0"/>
      <w:marTop w:val="0"/>
      <w:marBottom w:val="0"/>
      <w:divBdr>
        <w:top w:val="none" w:sz="0" w:space="0" w:color="auto"/>
        <w:left w:val="none" w:sz="0" w:space="0" w:color="auto"/>
        <w:bottom w:val="none" w:sz="0" w:space="0" w:color="auto"/>
        <w:right w:val="none" w:sz="0" w:space="0" w:color="auto"/>
      </w:divBdr>
    </w:div>
    <w:div w:id="1661274446">
      <w:bodyDiv w:val="1"/>
      <w:marLeft w:val="0"/>
      <w:marRight w:val="0"/>
      <w:marTop w:val="0"/>
      <w:marBottom w:val="0"/>
      <w:divBdr>
        <w:top w:val="none" w:sz="0" w:space="0" w:color="auto"/>
        <w:left w:val="none" w:sz="0" w:space="0" w:color="auto"/>
        <w:bottom w:val="none" w:sz="0" w:space="0" w:color="auto"/>
        <w:right w:val="none" w:sz="0" w:space="0" w:color="auto"/>
      </w:divBdr>
    </w:div>
    <w:div w:id="1662851771">
      <w:bodyDiv w:val="1"/>
      <w:marLeft w:val="0"/>
      <w:marRight w:val="0"/>
      <w:marTop w:val="0"/>
      <w:marBottom w:val="0"/>
      <w:divBdr>
        <w:top w:val="none" w:sz="0" w:space="0" w:color="auto"/>
        <w:left w:val="none" w:sz="0" w:space="0" w:color="auto"/>
        <w:bottom w:val="none" w:sz="0" w:space="0" w:color="auto"/>
        <w:right w:val="none" w:sz="0" w:space="0" w:color="auto"/>
      </w:divBdr>
    </w:div>
    <w:div w:id="1663191356">
      <w:bodyDiv w:val="1"/>
      <w:marLeft w:val="0"/>
      <w:marRight w:val="0"/>
      <w:marTop w:val="0"/>
      <w:marBottom w:val="0"/>
      <w:divBdr>
        <w:top w:val="none" w:sz="0" w:space="0" w:color="auto"/>
        <w:left w:val="none" w:sz="0" w:space="0" w:color="auto"/>
        <w:bottom w:val="none" w:sz="0" w:space="0" w:color="auto"/>
        <w:right w:val="none" w:sz="0" w:space="0" w:color="auto"/>
      </w:divBdr>
    </w:div>
    <w:div w:id="1664314319">
      <w:bodyDiv w:val="1"/>
      <w:marLeft w:val="0"/>
      <w:marRight w:val="0"/>
      <w:marTop w:val="0"/>
      <w:marBottom w:val="0"/>
      <w:divBdr>
        <w:top w:val="none" w:sz="0" w:space="0" w:color="auto"/>
        <w:left w:val="none" w:sz="0" w:space="0" w:color="auto"/>
        <w:bottom w:val="none" w:sz="0" w:space="0" w:color="auto"/>
        <w:right w:val="none" w:sz="0" w:space="0" w:color="auto"/>
      </w:divBdr>
    </w:div>
    <w:div w:id="1665622365">
      <w:bodyDiv w:val="1"/>
      <w:marLeft w:val="0"/>
      <w:marRight w:val="0"/>
      <w:marTop w:val="0"/>
      <w:marBottom w:val="0"/>
      <w:divBdr>
        <w:top w:val="none" w:sz="0" w:space="0" w:color="auto"/>
        <w:left w:val="none" w:sz="0" w:space="0" w:color="auto"/>
        <w:bottom w:val="none" w:sz="0" w:space="0" w:color="auto"/>
        <w:right w:val="none" w:sz="0" w:space="0" w:color="auto"/>
      </w:divBdr>
    </w:div>
    <w:div w:id="1669096141">
      <w:bodyDiv w:val="1"/>
      <w:marLeft w:val="0"/>
      <w:marRight w:val="0"/>
      <w:marTop w:val="0"/>
      <w:marBottom w:val="0"/>
      <w:divBdr>
        <w:top w:val="none" w:sz="0" w:space="0" w:color="auto"/>
        <w:left w:val="none" w:sz="0" w:space="0" w:color="auto"/>
        <w:bottom w:val="none" w:sz="0" w:space="0" w:color="auto"/>
        <w:right w:val="none" w:sz="0" w:space="0" w:color="auto"/>
      </w:divBdr>
    </w:div>
    <w:div w:id="1669943977">
      <w:bodyDiv w:val="1"/>
      <w:marLeft w:val="0"/>
      <w:marRight w:val="0"/>
      <w:marTop w:val="0"/>
      <w:marBottom w:val="0"/>
      <w:divBdr>
        <w:top w:val="none" w:sz="0" w:space="0" w:color="auto"/>
        <w:left w:val="none" w:sz="0" w:space="0" w:color="auto"/>
        <w:bottom w:val="none" w:sz="0" w:space="0" w:color="auto"/>
        <w:right w:val="none" w:sz="0" w:space="0" w:color="auto"/>
      </w:divBdr>
    </w:div>
    <w:div w:id="1674339982">
      <w:bodyDiv w:val="1"/>
      <w:marLeft w:val="0"/>
      <w:marRight w:val="0"/>
      <w:marTop w:val="0"/>
      <w:marBottom w:val="0"/>
      <w:divBdr>
        <w:top w:val="none" w:sz="0" w:space="0" w:color="auto"/>
        <w:left w:val="none" w:sz="0" w:space="0" w:color="auto"/>
        <w:bottom w:val="none" w:sz="0" w:space="0" w:color="auto"/>
        <w:right w:val="none" w:sz="0" w:space="0" w:color="auto"/>
      </w:divBdr>
    </w:div>
    <w:div w:id="1677999494">
      <w:bodyDiv w:val="1"/>
      <w:marLeft w:val="0"/>
      <w:marRight w:val="0"/>
      <w:marTop w:val="0"/>
      <w:marBottom w:val="0"/>
      <w:divBdr>
        <w:top w:val="none" w:sz="0" w:space="0" w:color="auto"/>
        <w:left w:val="none" w:sz="0" w:space="0" w:color="auto"/>
        <w:bottom w:val="none" w:sz="0" w:space="0" w:color="auto"/>
        <w:right w:val="none" w:sz="0" w:space="0" w:color="auto"/>
      </w:divBdr>
    </w:div>
    <w:div w:id="1681084095">
      <w:bodyDiv w:val="1"/>
      <w:marLeft w:val="0"/>
      <w:marRight w:val="0"/>
      <w:marTop w:val="0"/>
      <w:marBottom w:val="0"/>
      <w:divBdr>
        <w:top w:val="none" w:sz="0" w:space="0" w:color="auto"/>
        <w:left w:val="none" w:sz="0" w:space="0" w:color="auto"/>
        <w:bottom w:val="none" w:sz="0" w:space="0" w:color="auto"/>
        <w:right w:val="none" w:sz="0" w:space="0" w:color="auto"/>
      </w:divBdr>
    </w:div>
    <w:div w:id="1684282866">
      <w:bodyDiv w:val="1"/>
      <w:marLeft w:val="0"/>
      <w:marRight w:val="0"/>
      <w:marTop w:val="0"/>
      <w:marBottom w:val="0"/>
      <w:divBdr>
        <w:top w:val="none" w:sz="0" w:space="0" w:color="auto"/>
        <w:left w:val="none" w:sz="0" w:space="0" w:color="auto"/>
        <w:bottom w:val="none" w:sz="0" w:space="0" w:color="auto"/>
        <w:right w:val="none" w:sz="0" w:space="0" w:color="auto"/>
      </w:divBdr>
    </w:div>
    <w:div w:id="1713652629">
      <w:bodyDiv w:val="1"/>
      <w:marLeft w:val="0"/>
      <w:marRight w:val="0"/>
      <w:marTop w:val="0"/>
      <w:marBottom w:val="0"/>
      <w:divBdr>
        <w:top w:val="none" w:sz="0" w:space="0" w:color="auto"/>
        <w:left w:val="none" w:sz="0" w:space="0" w:color="auto"/>
        <w:bottom w:val="none" w:sz="0" w:space="0" w:color="auto"/>
        <w:right w:val="none" w:sz="0" w:space="0" w:color="auto"/>
      </w:divBdr>
    </w:div>
    <w:div w:id="1731151755">
      <w:bodyDiv w:val="1"/>
      <w:marLeft w:val="0"/>
      <w:marRight w:val="0"/>
      <w:marTop w:val="0"/>
      <w:marBottom w:val="0"/>
      <w:divBdr>
        <w:top w:val="none" w:sz="0" w:space="0" w:color="auto"/>
        <w:left w:val="none" w:sz="0" w:space="0" w:color="auto"/>
        <w:bottom w:val="none" w:sz="0" w:space="0" w:color="auto"/>
        <w:right w:val="none" w:sz="0" w:space="0" w:color="auto"/>
      </w:divBdr>
    </w:div>
    <w:div w:id="1732923932">
      <w:bodyDiv w:val="1"/>
      <w:marLeft w:val="0"/>
      <w:marRight w:val="0"/>
      <w:marTop w:val="0"/>
      <w:marBottom w:val="0"/>
      <w:divBdr>
        <w:top w:val="none" w:sz="0" w:space="0" w:color="auto"/>
        <w:left w:val="none" w:sz="0" w:space="0" w:color="auto"/>
        <w:bottom w:val="none" w:sz="0" w:space="0" w:color="auto"/>
        <w:right w:val="none" w:sz="0" w:space="0" w:color="auto"/>
      </w:divBdr>
    </w:div>
    <w:div w:id="1743789638">
      <w:bodyDiv w:val="1"/>
      <w:marLeft w:val="0"/>
      <w:marRight w:val="0"/>
      <w:marTop w:val="0"/>
      <w:marBottom w:val="0"/>
      <w:divBdr>
        <w:top w:val="none" w:sz="0" w:space="0" w:color="auto"/>
        <w:left w:val="none" w:sz="0" w:space="0" w:color="auto"/>
        <w:bottom w:val="none" w:sz="0" w:space="0" w:color="auto"/>
        <w:right w:val="none" w:sz="0" w:space="0" w:color="auto"/>
      </w:divBdr>
    </w:div>
    <w:div w:id="1745031354">
      <w:bodyDiv w:val="1"/>
      <w:marLeft w:val="0"/>
      <w:marRight w:val="0"/>
      <w:marTop w:val="0"/>
      <w:marBottom w:val="0"/>
      <w:divBdr>
        <w:top w:val="none" w:sz="0" w:space="0" w:color="auto"/>
        <w:left w:val="none" w:sz="0" w:space="0" w:color="auto"/>
        <w:bottom w:val="none" w:sz="0" w:space="0" w:color="auto"/>
        <w:right w:val="none" w:sz="0" w:space="0" w:color="auto"/>
      </w:divBdr>
    </w:div>
    <w:div w:id="1754937299">
      <w:bodyDiv w:val="1"/>
      <w:marLeft w:val="0"/>
      <w:marRight w:val="0"/>
      <w:marTop w:val="0"/>
      <w:marBottom w:val="0"/>
      <w:divBdr>
        <w:top w:val="none" w:sz="0" w:space="0" w:color="auto"/>
        <w:left w:val="none" w:sz="0" w:space="0" w:color="auto"/>
        <w:bottom w:val="none" w:sz="0" w:space="0" w:color="auto"/>
        <w:right w:val="none" w:sz="0" w:space="0" w:color="auto"/>
      </w:divBdr>
    </w:div>
    <w:div w:id="1756122962">
      <w:bodyDiv w:val="1"/>
      <w:marLeft w:val="0"/>
      <w:marRight w:val="0"/>
      <w:marTop w:val="0"/>
      <w:marBottom w:val="0"/>
      <w:divBdr>
        <w:top w:val="none" w:sz="0" w:space="0" w:color="auto"/>
        <w:left w:val="none" w:sz="0" w:space="0" w:color="auto"/>
        <w:bottom w:val="none" w:sz="0" w:space="0" w:color="auto"/>
        <w:right w:val="none" w:sz="0" w:space="0" w:color="auto"/>
      </w:divBdr>
    </w:div>
    <w:div w:id="1757748210">
      <w:bodyDiv w:val="1"/>
      <w:marLeft w:val="0"/>
      <w:marRight w:val="0"/>
      <w:marTop w:val="0"/>
      <w:marBottom w:val="0"/>
      <w:divBdr>
        <w:top w:val="none" w:sz="0" w:space="0" w:color="auto"/>
        <w:left w:val="none" w:sz="0" w:space="0" w:color="auto"/>
        <w:bottom w:val="none" w:sz="0" w:space="0" w:color="auto"/>
        <w:right w:val="none" w:sz="0" w:space="0" w:color="auto"/>
      </w:divBdr>
    </w:div>
    <w:div w:id="1758938282">
      <w:bodyDiv w:val="1"/>
      <w:marLeft w:val="0"/>
      <w:marRight w:val="0"/>
      <w:marTop w:val="0"/>
      <w:marBottom w:val="0"/>
      <w:divBdr>
        <w:top w:val="none" w:sz="0" w:space="0" w:color="auto"/>
        <w:left w:val="none" w:sz="0" w:space="0" w:color="auto"/>
        <w:bottom w:val="none" w:sz="0" w:space="0" w:color="auto"/>
        <w:right w:val="none" w:sz="0" w:space="0" w:color="auto"/>
      </w:divBdr>
    </w:div>
    <w:div w:id="1765808370">
      <w:bodyDiv w:val="1"/>
      <w:marLeft w:val="0"/>
      <w:marRight w:val="0"/>
      <w:marTop w:val="0"/>
      <w:marBottom w:val="0"/>
      <w:divBdr>
        <w:top w:val="none" w:sz="0" w:space="0" w:color="auto"/>
        <w:left w:val="none" w:sz="0" w:space="0" w:color="auto"/>
        <w:bottom w:val="none" w:sz="0" w:space="0" w:color="auto"/>
        <w:right w:val="none" w:sz="0" w:space="0" w:color="auto"/>
      </w:divBdr>
    </w:div>
    <w:div w:id="1768117823">
      <w:bodyDiv w:val="1"/>
      <w:marLeft w:val="0"/>
      <w:marRight w:val="0"/>
      <w:marTop w:val="0"/>
      <w:marBottom w:val="0"/>
      <w:divBdr>
        <w:top w:val="none" w:sz="0" w:space="0" w:color="auto"/>
        <w:left w:val="none" w:sz="0" w:space="0" w:color="auto"/>
        <w:bottom w:val="none" w:sz="0" w:space="0" w:color="auto"/>
        <w:right w:val="none" w:sz="0" w:space="0" w:color="auto"/>
      </w:divBdr>
    </w:div>
    <w:div w:id="1773940127">
      <w:bodyDiv w:val="1"/>
      <w:marLeft w:val="0"/>
      <w:marRight w:val="0"/>
      <w:marTop w:val="0"/>
      <w:marBottom w:val="0"/>
      <w:divBdr>
        <w:top w:val="none" w:sz="0" w:space="0" w:color="auto"/>
        <w:left w:val="none" w:sz="0" w:space="0" w:color="auto"/>
        <w:bottom w:val="none" w:sz="0" w:space="0" w:color="auto"/>
        <w:right w:val="none" w:sz="0" w:space="0" w:color="auto"/>
      </w:divBdr>
    </w:div>
    <w:div w:id="1780829484">
      <w:bodyDiv w:val="1"/>
      <w:marLeft w:val="0"/>
      <w:marRight w:val="0"/>
      <w:marTop w:val="0"/>
      <w:marBottom w:val="0"/>
      <w:divBdr>
        <w:top w:val="none" w:sz="0" w:space="0" w:color="auto"/>
        <w:left w:val="none" w:sz="0" w:space="0" w:color="auto"/>
        <w:bottom w:val="none" w:sz="0" w:space="0" w:color="auto"/>
        <w:right w:val="none" w:sz="0" w:space="0" w:color="auto"/>
      </w:divBdr>
    </w:div>
    <w:div w:id="1788499210">
      <w:bodyDiv w:val="1"/>
      <w:marLeft w:val="0"/>
      <w:marRight w:val="0"/>
      <w:marTop w:val="0"/>
      <w:marBottom w:val="0"/>
      <w:divBdr>
        <w:top w:val="none" w:sz="0" w:space="0" w:color="auto"/>
        <w:left w:val="none" w:sz="0" w:space="0" w:color="auto"/>
        <w:bottom w:val="none" w:sz="0" w:space="0" w:color="auto"/>
        <w:right w:val="none" w:sz="0" w:space="0" w:color="auto"/>
      </w:divBdr>
    </w:div>
    <w:div w:id="1794055512">
      <w:bodyDiv w:val="1"/>
      <w:marLeft w:val="0"/>
      <w:marRight w:val="0"/>
      <w:marTop w:val="0"/>
      <w:marBottom w:val="0"/>
      <w:divBdr>
        <w:top w:val="none" w:sz="0" w:space="0" w:color="auto"/>
        <w:left w:val="none" w:sz="0" w:space="0" w:color="auto"/>
        <w:bottom w:val="none" w:sz="0" w:space="0" w:color="auto"/>
        <w:right w:val="none" w:sz="0" w:space="0" w:color="auto"/>
      </w:divBdr>
    </w:div>
    <w:div w:id="1801805819">
      <w:bodyDiv w:val="1"/>
      <w:marLeft w:val="0"/>
      <w:marRight w:val="0"/>
      <w:marTop w:val="0"/>
      <w:marBottom w:val="0"/>
      <w:divBdr>
        <w:top w:val="none" w:sz="0" w:space="0" w:color="auto"/>
        <w:left w:val="none" w:sz="0" w:space="0" w:color="auto"/>
        <w:bottom w:val="none" w:sz="0" w:space="0" w:color="auto"/>
        <w:right w:val="none" w:sz="0" w:space="0" w:color="auto"/>
      </w:divBdr>
    </w:div>
    <w:div w:id="1802992523">
      <w:bodyDiv w:val="1"/>
      <w:marLeft w:val="0"/>
      <w:marRight w:val="0"/>
      <w:marTop w:val="0"/>
      <w:marBottom w:val="0"/>
      <w:divBdr>
        <w:top w:val="none" w:sz="0" w:space="0" w:color="auto"/>
        <w:left w:val="none" w:sz="0" w:space="0" w:color="auto"/>
        <w:bottom w:val="none" w:sz="0" w:space="0" w:color="auto"/>
        <w:right w:val="none" w:sz="0" w:space="0" w:color="auto"/>
      </w:divBdr>
    </w:div>
    <w:div w:id="1805196047">
      <w:bodyDiv w:val="1"/>
      <w:marLeft w:val="0"/>
      <w:marRight w:val="0"/>
      <w:marTop w:val="0"/>
      <w:marBottom w:val="0"/>
      <w:divBdr>
        <w:top w:val="none" w:sz="0" w:space="0" w:color="auto"/>
        <w:left w:val="none" w:sz="0" w:space="0" w:color="auto"/>
        <w:bottom w:val="none" w:sz="0" w:space="0" w:color="auto"/>
        <w:right w:val="none" w:sz="0" w:space="0" w:color="auto"/>
      </w:divBdr>
    </w:div>
    <w:div w:id="1805460813">
      <w:bodyDiv w:val="1"/>
      <w:marLeft w:val="0"/>
      <w:marRight w:val="0"/>
      <w:marTop w:val="0"/>
      <w:marBottom w:val="0"/>
      <w:divBdr>
        <w:top w:val="none" w:sz="0" w:space="0" w:color="auto"/>
        <w:left w:val="none" w:sz="0" w:space="0" w:color="auto"/>
        <w:bottom w:val="none" w:sz="0" w:space="0" w:color="auto"/>
        <w:right w:val="none" w:sz="0" w:space="0" w:color="auto"/>
      </w:divBdr>
    </w:div>
    <w:div w:id="1811945277">
      <w:bodyDiv w:val="1"/>
      <w:marLeft w:val="0"/>
      <w:marRight w:val="0"/>
      <w:marTop w:val="0"/>
      <w:marBottom w:val="0"/>
      <w:divBdr>
        <w:top w:val="none" w:sz="0" w:space="0" w:color="auto"/>
        <w:left w:val="none" w:sz="0" w:space="0" w:color="auto"/>
        <w:bottom w:val="none" w:sz="0" w:space="0" w:color="auto"/>
        <w:right w:val="none" w:sz="0" w:space="0" w:color="auto"/>
      </w:divBdr>
    </w:div>
    <w:div w:id="1819804571">
      <w:bodyDiv w:val="1"/>
      <w:marLeft w:val="0"/>
      <w:marRight w:val="0"/>
      <w:marTop w:val="0"/>
      <w:marBottom w:val="0"/>
      <w:divBdr>
        <w:top w:val="none" w:sz="0" w:space="0" w:color="auto"/>
        <w:left w:val="none" w:sz="0" w:space="0" w:color="auto"/>
        <w:bottom w:val="none" w:sz="0" w:space="0" w:color="auto"/>
        <w:right w:val="none" w:sz="0" w:space="0" w:color="auto"/>
      </w:divBdr>
    </w:div>
    <w:div w:id="1820731592">
      <w:bodyDiv w:val="1"/>
      <w:marLeft w:val="0"/>
      <w:marRight w:val="0"/>
      <w:marTop w:val="0"/>
      <w:marBottom w:val="0"/>
      <w:divBdr>
        <w:top w:val="none" w:sz="0" w:space="0" w:color="auto"/>
        <w:left w:val="none" w:sz="0" w:space="0" w:color="auto"/>
        <w:bottom w:val="none" w:sz="0" w:space="0" w:color="auto"/>
        <w:right w:val="none" w:sz="0" w:space="0" w:color="auto"/>
      </w:divBdr>
    </w:div>
    <w:div w:id="1823421549">
      <w:bodyDiv w:val="1"/>
      <w:marLeft w:val="0"/>
      <w:marRight w:val="0"/>
      <w:marTop w:val="0"/>
      <w:marBottom w:val="0"/>
      <w:divBdr>
        <w:top w:val="none" w:sz="0" w:space="0" w:color="auto"/>
        <w:left w:val="none" w:sz="0" w:space="0" w:color="auto"/>
        <w:bottom w:val="none" w:sz="0" w:space="0" w:color="auto"/>
        <w:right w:val="none" w:sz="0" w:space="0" w:color="auto"/>
      </w:divBdr>
    </w:div>
    <w:div w:id="1826121025">
      <w:bodyDiv w:val="1"/>
      <w:marLeft w:val="0"/>
      <w:marRight w:val="0"/>
      <w:marTop w:val="0"/>
      <w:marBottom w:val="0"/>
      <w:divBdr>
        <w:top w:val="none" w:sz="0" w:space="0" w:color="auto"/>
        <w:left w:val="none" w:sz="0" w:space="0" w:color="auto"/>
        <w:bottom w:val="none" w:sz="0" w:space="0" w:color="auto"/>
        <w:right w:val="none" w:sz="0" w:space="0" w:color="auto"/>
      </w:divBdr>
    </w:div>
    <w:div w:id="1826431740">
      <w:bodyDiv w:val="1"/>
      <w:marLeft w:val="0"/>
      <w:marRight w:val="0"/>
      <w:marTop w:val="0"/>
      <w:marBottom w:val="0"/>
      <w:divBdr>
        <w:top w:val="none" w:sz="0" w:space="0" w:color="auto"/>
        <w:left w:val="none" w:sz="0" w:space="0" w:color="auto"/>
        <w:bottom w:val="none" w:sz="0" w:space="0" w:color="auto"/>
        <w:right w:val="none" w:sz="0" w:space="0" w:color="auto"/>
      </w:divBdr>
    </w:div>
    <w:div w:id="1830516728">
      <w:bodyDiv w:val="1"/>
      <w:marLeft w:val="0"/>
      <w:marRight w:val="0"/>
      <w:marTop w:val="0"/>
      <w:marBottom w:val="0"/>
      <w:divBdr>
        <w:top w:val="none" w:sz="0" w:space="0" w:color="auto"/>
        <w:left w:val="none" w:sz="0" w:space="0" w:color="auto"/>
        <w:bottom w:val="none" w:sz="0" w:space="0" w:color="auto"/>
        <w:right w:val="none" w:sz="0" w:space="0" w:color="auto"/>
      </w:divBdr>
    </w:div>
    <w:div w:id="1832410777">
      <w:bodyDiv w:val="1"/>
      <w:marLeft w:val="0"/>
      <w:marRight w:val="0"/>
      <w:marTop w:val="0"/>
      <w:marBottom w:val="0"/>
      <w:divBdr>
        <w:top w:val="none" w:sz="0" w:space="0" w:color="auto"/>
        <w:left w:val="none" w:sz="0" w:space="0" w:color="auto"/>
        <w:bottom w:val="none" w:sz="0" w:space="0" w:color="auto"/>
        <w:right w:val="none" w:sz="0" w:space="0" w:color="auto"/>
      </w:divBdr>
    </w:div>
    <w:div w:id="1836412041">
      <w:bodyDiv w:val="1"/>
      <w:marLeft w:val="0"/>
      <w:marRight w:val="0"/>
      <w:marTop w:val="0"/>
      <w:marBottom w:val="0"/>
      <w:divBdr>
        <w:top w:val="none" w:sz="0" w:space="0" w:color="auto"/>
        <w:left w:val="none" w:sz="0" w:space="0" w:color="auto"/>
        <w:bottom w:val="none" w:sz="0" w:space="0" w:color="auto"/>
        <w:right w:val="none" w:sz="0" w:space="0" w:color="auto"/>
      </w:divBdr>
    </w:div>
    <w:div w:id="1840579973">
      <w:bodyDiv w:val="1"/>
      <w:marLeft w:val="0"/>
      <w:marRight w:val="0"/>
      <w:marTop w:val="0"/>
      <w:marBottom w:val="0"/>
      <w:divBdr>
        <w:top w:val="none" w:sz="0" w:space="0" w:color="auto"/>
        <w:left w:val="none" w:sz="0" w:space="0" w:color="auto"/>
        <w:bottom w:val="none" w:sz="0" w:space="0" w:color="auto"/>
        <w:right w:val="none" w:sz="0" w:space="0" w:color="auto"/>
      </w:divBdr>
    </w:div>
    <w:div w:id="1844970653">
      <w:bodyDiv w:val="1"/>
      <w:marLeft w:val="0"/>
      <w:marRight w:val="0"/>
      <w:marTop w:val="0"/>
      <w:marBottom w:val="0"/>
      <w:divBdr>
        <w:top w:val="none" w:sz="0" w:space="0" w:color="auto"/>
        <w:left w:val="none" w:sz="0" w:space="0" w:color="auto"/>
        <w:bottom w:val="none" w:sz="0" w:space="0" w:color="auto"/>
        <w:right w:val="none" w:sz="0" w:space="0" w:color="auto"/>
      </w:divBdr>
    </w:div>
    <w:div w:id="1845126895">
      <w:bodyDiv w:val="1"/>
      <w:marLeft w:val="0"/>
      <w:marRight w:val="0"/>
      <w:marTop w:val="0"/>
      <w:marBottom w:val="0"/>
      <w:divBdr>
        <w:top w:val="none" w:sz="0" w:space="0" w:color="auto"/>
        <w:left w:val="none" w:sz="0" w:space="0" w:color="auto"/>
        <w:bottom w:val="none" w:sz="0" w:space="0" w:color="auto"/>
        <w:right w:val="none" w:sz="0" w:space="0" w:color="auto"/>
      </w:divBdr>
    </w:div>
    <w:div w:id="1846087153">
      <w:bodyDiv w:val="1"/>
      <w:marLeft w:val="0"/>
      <w:marRight w:val="0"/>
      <w:marTop w:val="0"/>
      <w:marBottom w:val="0"/>
      <w:divBdr>
        <w:top w:val="none" w:sz="0" w:space="0" w:color="auto"/>
        <w:left w:val="none" w:sz="0" w:space="0" w:color="auto"/>
        <w:bottom w:val="none" w:sz="0" w:space="0" w:color="auto"/>
        <w:right w:val="none" w:sz="0" w:space="0" w:color="auto"/>
      </w:divBdr>
    </w:div>
    <w:div w:id="1852530490">
      <w:bodyDiv w:val="1"/>
      <w:marLeft w:val="0"/>
      <w:marRight w:val="0"/>
      <w:marTop w:val="0"/>
      <w:marBottom w:val="0"/>
      <w:divBdr>
        <w:top w:val="none" w:sz="0" w:space="0" w:color="auto"/>
        <w:left w:val="none" w:sz="0" w:space="0" w:color="auto"/>
        <w:bottom w:val="none" w:sz="0" w:space="0" w:color="auto"/>
        <w:right w:val="none" w:sz="0" w:space="0" w:color="auto"/>
      </w:divBdr>
    </w:div>
    <w:div w:id="1863661250">
      <w:bodyDiv w:val="1"/>
      <w:marLeft w:val="0"/>
      <w:marRight w:val="0"/>
      <w:marTop w:val="0"/>
      <w:marBottom w:val="0"/>
      <w:divBdr>
        <w:top w:val="none" w:sz="0" w:space="0" w:color="auto"/>
        <w:left w:val="none" w:sz="0" w:space="0" w:color="auto"/>
        <w:bottom w:val="none" w:sz="0" w:space="0" w:color="auto"/>
        <w:right w:val="none" w:sz="0" w:space="0" w:color="auto"/>
      </w:divBdr>
    </w:div>
    <w:div w:id="1868249250">
      <w:bodyDiv w:val="1"/>
      <w:marLeft w:val="0"/>
      <w:marRight w:val="0"/>
      <w:marTop w:val="0"/>
      <w:marBottom w:val="0"/>
      <w:divBdr>
        <w:top w:val="none" w:sz="0" w:space="0" w:color="auto"/>
        <w:left w:val="none" w:sz="0" w:space="0" w:color="auto"/>
        <w:bottom w:val="none" w:sz="0" w:space="0" w:color="auto"/>
        <w:right w:val="none" w:sz="0" w:space="0" w:color="auto"/>
      </w:divBdr>
    </w:div>
    <w:div w:id="1868595098">
      <w:bodyDiv w:val="1"/>
      <w:marLeft w:val="0"/>
      <w:marRight w:val="0"/>
      <w:marTop w:val="0"/>
      <w:marBottom w:val="0"/>
      <w:divBdr>
        <w:top w:val="none" w:sz="0" w:space="0" w:color="auto"/>
        <w:left w:val="none" w:sz="0" w:space="0" w:color="auto"/>
        <w:bottom w:val="none" w:sz="0" w:space="0" w:color="auto"/>
        <w:right w:val="none" w:sz="0" w:space="0" w:color="auto"/>
      </w:divBdr>
    </w:div>
    <w:div w:id="1868710409">
      <w:bodyDiv w:val="1"/>
      <w:marLeft w:val="0"/>
      <w:marRight w:val="0"/>
      <w:marTop w:val="0"/>
      <w:marBottom w:val="0"/>
      <w:divBdr>
        <w:top w:val="none" w:sz="0" w:space="0" w:color="auto"/>
        <w:left w:val="none" w:sz="0" w:space="0" w:color="auto"/>
        <w:bottom w:val="none" w:sz="0" w:space="0" w:color="auto"/>
        <w:right w:val="none" w:sz="0" w:space="0" w:color="auto"/>
      </w:divBdr>
    </w:div>
    <w:div w:id="1874804996">
      <w:bodyDiv w:val="1"/>
      <w:marLeft w:val="0"/>
      <w:marRight w:val="0"/>
      <w:marTop w:val="0"/>
      <w:marBottom w:val="0"/>
      <w:divBdr>
        <w:top w:val="none" w:sz="0" w:space="0" w:color="auto"/>
        <w:left w:val="none" w:sz="0" w:space="0" w:color="auto"/>
        <w:bottom w:val="none" w:sz="0" w:space="0" w:color="auto"/>
        <w:right w:val="none" w:sz="0" w:space="0" w:color="auto"/>
      </w:divBdr>
    </w:div>
    <w:div w:id="1881429677">
      <w:bodyDiv w:val="1"/>
      <w:marLeft w:val="0"/>
      <w:marRight w:val="0"/>
      <w:marTop w:val="0"/>
      <w:marBottom w:val="0"/>
      <w:divBdr>
        <w:top w:val="none" w:sz="0" w:space="0" w:color="auto"/>
        <w:left w:val="none" w:sz="0" w:space="0" w:color="auto"/>
        <w:bottom w:val="none" w:sz="0" w:space="0" w:color="auto"/>
        <w:right w:val="none" w:sz="0" w:space="0" w:color="auto"/>
      </w:divBdr>
    </w:div>
    <w:div w:id="1885756243">
      <w:bodyDiv w:val="1"/>
      <w:marLeft w:val="0"/>
      <w:marRight w:val="0"/>
      <w:marTop w:val="0"/>
      <w:marBottom w:val="0"/>
      <w:divBdr>
        <w:top w:val="none" w:sz="0" w:space="0" w:color="auto"/>
        <w:left w:val="none" w:sz="0" w:space="0" w:color="auto"/>
        <w:bottom w:val="none" w:sz="0" w:space="0" w:color="auto"/>
        <w:right w:val="none" w:sz="0" w:space="0" w:color="auto"/>
      </w:divBdr>
    </w:div>
    <w:div w:id="1889411510">
      <w:bodyDiv w:val="1"/>
      <w:marLeft w:val="0"/>
      <w:marRight w:val="0"/>
      <w:marTop w:val="0"/>
      <w:marBottom w:val="0"/>
      <w:divBdr>
        <w:top w:val="none" w:sz="0" w:space="0" w:color="auto"/>
        <w:left w:val="none" w:sz="0" w:space="0" w:color="auto"/>
        <w:bottom w:val="none" w:sz="0" w:space="0" w:color="auto"/>
        <w:right w:val="none" w:sz="0" w:space="0" w:color="auto"/>
      </w:divBdr>
    </w:div>
    <w:div w:id="1892686429">
      <w:bodyDiv w:val="1"/>
      <w:marLeft w:val="0"/>
      <w:marRight w:val="0"/>
      <w:marTop w:val="0"/>
      <w:marBottom w:val="0"/>
      <w:divBdr>
        <w:top w:val="none" w:sz="0" w:space="0" w:color="auto"/>
        <w:left w:val="none" w:sz="0" w:space="0" w:color="auto"/>
        <w:bottom w:val="none" w:sz="0" w:space="0" w:color="auto"/>
        <w:right w:val="none" w:sz="0" w:space="0" w:color="auto"/>
      </w:divBdr>
    </w:div>
    <w:div w:id="1898973414">
      <w:bodyDiv w:val="1"/>
      <w:marLeft w:val="0"/>
      <w:marRight w:val="0"/>
      <w:marTop w:val="0"/>
      <w:marBottom w:val="0"/>
      <w:divBdr>
        <w:top w:val="none" w:sz="0" w:space="0" w:color="auto"/>
        <w:left w:val="none" w:sz="0" w:space="0" w:color="auto"/>
        <w:bottom w:val="none" w:sz="0" w:space="0" w:color="auto"/>
        <w:right w:val="none" w:sz="0" w:space="0" w:color="auto"/>
      </w:divBdr>
    </w:div>
    <w:div w:id="1902444805">
      <w:bodyDiv w:val="1"/>
      <w:marLeft w:val="0"/>
      <w:marRight w:val="0"/>
      <w:marTop w:val="0"/>
      <w:marBottom w:val="0"/>
      <w:divBdr>
        <w:top w:val="none" w:sz="0" w:space="0" w:color="auto"/>
        <w:left w:val="none" w:sz="0" w:space="0" w:color="auto"/>
        <w:bottom w:val="none" w:sz="0" w:space="0" w:color="auto"/>
        <w:right w:val="none" w:sz="0" w:space="0" w:color="auto"/>
      </w:divBdr>
    </w:div>
    <w:div w:id="1905139127">
      <w:bodyDiv w:val="1"/>
      <w:marLeft w:val="0"/>
      <w:marRight w:val="0"/>
      <w:marTop w:val="0"/>
      <w:marBottom w:val="0"/>
      <w:divBdr>
        <w:top w:val="none" w:sz="0" w:space="0" w:color="auto"/>
        <w:left w:val="none" w:sz="0" w:space="0" w:color="auto"/>
        <w:bottom w:val="none" w:sz="0" w:space="0" w:color="auto"/>
        <w:right w:val="none" w:sz="0" w:space="0" w:color="auto"/>
      </w:divBdr>
    </w:div>
    <w:div w:id="1909461195">
      <w:bodyDiv w:val="1"/>
      <w:marLeft w:val="0"/>
      <w:marRight w:val="0"/>
      <w:marTop w:val="0"/>
      <w:marBottom w:val="0"/>
      <w:divBdr>
        <w:top w:val="none" w:sz="0" w:space="0" w:color="auto"/>
        <w:left w:val="none" w:sz="0" w:space="0" w:color="auto"/>
        <w:bottom w:val="none" w:sz="0" w:space="0" w:color="auto"/>
        <w:right w:val="none" w:sz="0" w:space="0" w:color="auto"/>
      </w:divBdr>
    </w:div>
    <w:div w:id="1912614908">
      <w:bodyDiv w:val="1"/>
      <w:marLeft w:val="0"/>
      <w:marRight w:val="0"/>
      <w:marTop w:val="0"/>
      <w:marBottom w:val="0"/>
      <w:divBdr>
        <w:top w:val="none" w:sz="0" w:space="0" w:color="auto"/>
        <w:left w:val="none" w:sz="0" w:space="0" w:color="auto"/>
        <w:bottom w:val="none" w:sz="0" w:space="0" w:color="auto"/>
        <w:right w:val="none" w:sz="0" w:space="0" w:color="auto"/>
      </w:divBdr>
    </w:div>
    <w:div w:id="1917202360">
      <w:bodyDiv w:val="1"/>
      <w:marLeft w:val="0"/>
      <w:marRight w:val="0"/>
      <w:marTop w:val="0"/>
      <w:marBottom w:val="0"/>
      <w:divBdr>
        <w:top w:val="none" w:sz="0" w:space="0" w:color="auto"/>
        <w:left w:val="none" w:sz="0" w:space="0" w:color="auto"/>
        <w:bottom w:val="none" w:sz="0" w:space="0" w:color="auto"/>
        <w:right w:val="none" w:sz="0" w:space="0" w:color="auto"/>
      </w:divBdr>
    </w:div>
    <w:div w:id="1917280068">
      <w:bodyDiv w:val="1"/>
      <w:marLeft w:val="0"/>
      <w:marRight w:val="0"/>
      <w:marTop w:val="0"/>
      <w:marBottom w:val="0"/>
      <w:divBdr>
        <w:top w:val="none" w:sz="0" w:space="0" w:color="auto"/>
        <w:left w:val="none" w:sz="0" w:space="0" w:color="auto"/>
        <w:bottom w:val="none" w:sz="0" w:space="0" w:color="auto"/>
        <w:right w:val="none" w:sz="0" w:space="0" w:color="auto"/>
      </w:divBdr>
    </w:div>
    <w:div w:id="1925186082">
      <w:bodyDiv w:val="1"/>
      <w:marLeft w:val="0"/>
      <w:marRight w:val="0"/>
      <w:marTop w:val="0"/>
      <w:marBottom w:val="0"/>
      <w:divBdr>
        <w:top w:val="none" w:sz="0" w:space="0" w:color="auto"/>
        <w:left w:val="none" w:sz="0" w:space="0" w:color="auto"/>
        <w:bottom w:val="none" w:sz="0" w:space="0" w:color="auto"/>
        <w:right w:val="none" w:sz="0" w:space="0" w:color="auto"/>
      </w:divBdr>
    </w:div>
    <w:div w:id="1926839055">
      <w:bodyDiv w:val="1"/>
      <w:marLeft w:val="0"/>
      <w:marRight w:val="0"/>
      <w:marTop w:val="0"/>
      <w:marBottom w:val="0"/>
      <w:divBdr>
        <w:top w:val="none" w:sz="0" w:space="0" w:color="auto"/>
        <w:left w:val="none" w:sz="0" w:space="0" w:color="auto"/>
        <w:bottom w:val="none" w:sz="0" w:space="0" w:color="auto"/>
        <w:right w:val="none" w:sz="0" w:space="0" w:color="auto"/>
      </w:divBdr>
    </w:div>
    <w:div w:id="1927227295">
      <w:bodyDiv w:val="1"/>
      <w:marLeft w:val="0"/>
      <w:marRight w:val="0"/>
      <w:marTop w:val="0"/>
      <w:marBottom w:val="0"/>
      <w:divBdr>
        <w:top w:val="none" w:sz="0" w:space="0" w:color="auto"/>
        <w:left w:val="none" w:sz="0" w:space="0" w:color="auto"/>
        <w:bottom w:val="none" w:sz="0" w:space="0" w:color="auto"/>
        <w:right w:val="none" w:sz="0" w:space="0" w:color="auto"/>
      </w:divBdr>
    </w:div>
    <w:div w:id="1929343731">
      <w:bodyDiv w:val="1"/>
      <w:marLeft w:val="0"/>
      <w:marRight w:val="0"/>
      <w:marTop w:val="0"/>
      <w:marBottom w:val="0"/>
      <w:divBdr>
        <w:top w:val="none" w:sz="0" w:space="0" w:color="auto"/>
        <w:left w:val="none" w:sz="0" w:space="0" w:color="auto"/>
        <w:bottom w:val="none" w:sz="0" w:space="0" w:color="auto"/>
        <w:right w:val="none" w:sz="0" w:space="0" w:color="auto"/>
      </w:divBdr>
    </w:div>
    <w:div w:id="1931305521">
      <w:bodyDiv w:val="1"/>
      <w:marLeft w:val="0"/>
      <w:marRight w:val="0"/>
      <w:marTop w:val="0"/>
      <w:marBottom w:val="0"/>
      <w:divBdr>
        <w:top w:val="none" w:sz="0" w:space="0" w:color="auto"/>
        <w:left w:val="none" w:sz="0" w:space="0" w:color="auto"/>
        <w:bottom w:val="none" w:sz="0" w:space="0" w:color="auto"/>
        <w:right w:val="none" w:sz="0" w:space="0" w:color="auto"/>
      </w:divBdr>
    </w:div>
    <w:div w:id="1931507060">
      <w:bodyDiv w:val="1"/>
      <w:marLeft w:val="0"/>
      <w:marRight w:val="0"/>
      <w:marTop w:val="0"/>
      <w:marBottom w:val="0"/>
      <w:divBdr>
        <w:top w:val="none" w:sz="0" w:space="0" w:color="auto"/>
        <w:left w:val="none" w:sz="0" w:space="0" w:color="auto"/>
        <w:bottom w:val="none" w:sz="0" w:space="0" w:color="auto"/>
        <w:right w:val="none" w:sz="0" w:space="0" w:color="auto"/>
      </w:divBdr>
    </w:div>
    <w:div w:id="1933926344">
      <w:bodyDiv w:val="1"/>
      <w:marLeft w:val="0"/>
      <w:marRight w:val="0"/>
      <w:marTop w:val="0"/>
      <w:marBottom w:val="0"/>
      <w:divBdr>
        <w:top w:val="none" w:sz="0" w:space="0" w:color="auto"/>
        <w:left w:val="none" w:sz="0" w:space="0" w:color="auto"/>
        <w:bottom w:val="none" w:sz="0" w:space="0" w:color="auto"/>
        <w:right w:val="none" w:sz="0" w:space="0" w:color="auto"/>
      </w:divBdr>
    </w:div>
    <w:div w:id="1951938326">
      <w:bodyDiv w:val="1"/>
      <w:marLeft w:val="0"/>
      <w:marRight w:val="0"/>
      <w:marTop w:val="0"/>
      <w:marBottom w:val="0"/>
      <w:divBdr>
        <w:top w:val="none" w:sz="0" w:space="0" w:color="auto"/>
        <w:left w:val="none" w:sz="0" w:space="0" w:color="auto"/>
        <w:bottom w:val="none" w:sz="0" w:space="0" w:color="auto"/>
        <w:right w:val="none" w:sz="0" w:space="0" w:color="auto"/>
      </w:divBdr>
    </w:div>
    <w:div w:id="1961836586">
      <w:bodyDiv w:val="1"/>
      <w:marLeft w:val="0"/>
      <w:marRight w:val="0"/>
      <w:marTop w:val="0"/>
      <w:marBottom w:val="0"/>
      <w:divBdr>
        <w:top w:val="none" w:sz="0" w:space="0" w:color="auto"/>
        <w:left w:val="none" w:sz="0" w:space="0" w:color="auto"/>
        <w:bottom w:val="none" w:sz="0" w:space="0" w:color="auto"/>
        <w:right w:val="none" w:sz="0" w:space="0" w:color="auto"/>
      </w:divBdr>
    </w:div>
    <w:div w:id="1962876734">
      <w:bodyDiv w:val="1"/>
      <w:marLeft w:val="0"/>
      <w:marRight w:val="0"/>
      <w:marTop w:val="0"/>
      <w:marBottom w:val="0"/>
      <w:divBdr>
        <w:top w:val="none" w:sz="0" w:space="0" w:color="auto"/>
        <w:left w:val="none" w:sz="0" w:space="0" w:color="auto"/>
        <w:bottom w:val="none" w:sz="0" w:space="0" w:color="auto"/>
        <w:right w:val="none" w:sz="0" w:space="0" w:color="auto"/>
      </w:divBdr>
    </w:div>
    <w:div w:id="1964530896">
      <w:bodyDiv w:val="1"/>
      <w:marLeft w:val="0"/>
      <w:marRight w:val="0"/>
      <w:marTop w:val="0"/>
      <w:marBottom w:val="0"/>
      <w:divBdr>
        <w:top w:val="none" w:sz="0" w:space="0" w:color="auto"/>
        <w:left w:val="none" w:sz="0" w:space="0" w:color="auto"/>
        <w:bottom w:val="none" w:sz="0" w:space="0" w:color="auto"/>
        <w:right w:val="none" w:sz="0" w:space="0" w:color="auto"/>
      </w:divBdr>
    </w:div>
    <w:div w:id="1966504114">
      <w:bodyDiv w:val="1"/>
      <w:marLeft w:val="0"/>
      <w:marRight w:val="0"/>
      <w:marTop w:val="0"/>
      <w:marBottom w:val="0"/>
      <w:divBdr>
        <w:top w:val="none" w:sz="0" w:space="0" w:color="auto"/>
        <w:left w:val="none" w:sz="0" w:space="0" w:color="auto"/>
        <w:bottom w:val="none" w:sz="0" w:space="0" w:color="auto"/>
        <w:right w:val="none" w:sz="0" w:space="0" w:color="auto"/>
      </w:divBdr>
    </w:div>
    <w:div w:id="1969388120">
      <w:bodyDiv w:val="1"/>
      <w:marLeft w:val="0"/>
      <w:marRight w:val="0"/>
      <w:marTop w:val="0"/>
      <w:marBottom w:val="0"/>
      <w:divBdr>
        <w:top w:val="none" w:sz="0" w:space="0" w:color="auto"/>
        <w:left w:val="none" w:sz="0" w:space="0" w:color="auto"/>
        <w:bottom w:val="none" w:sz="0" w:space="0" w:color="auto"/>
        <w:right w:val="none" w:sz="0" w:space="0" w:color="auto"/>
      </w:divBdr>
    </w:div>
    <w:div w:id="1969581373">
      <w:bodyDiv w:val="1"/>
      <w:marLeft w:val="0"/>
      <w:marRight w:val="0"/>
      <w:marTop w:val="0"/>
      <w:marBottom w:val="0"/>
      <w:divBdr>
        <w:top w:val="none" w:sz="0" w:space="0" w:color="auto"/>
        <w:left w:val="none" w:sz="0" w:space="0" w:color="auto"/>
        <w:bottom w:val="none" w:sz="0" w:space="0" w:color="auto"/>
        <w:right w:val="none" w:sz="0" w:space="0" w:color="auto"/>
      </w:divBdr>
    </w:div>
    <w:div w:id="1971742157">
      <w:bodyDiv w:val="1"/>
      <w:marLeft w:val="0"/>
      <w:marRight w:val="0"/>
      <w:marTop w:val="0"/>
      <w:marBottom w:val="0"/>
      <w:divBdr>
        <w:top w:val="none" w:sz="0" w:space="0" w:color="auto"/>
        <w:left w:val="none" w:sz="0" w:space="0" w:color="auto"/>
        <w:bottom w:val="none" w:sz="0" w:space="0" w:color="auto"/>
        <w:right w:val="none" w:sz="0" w:space="0" w:color="auto"/>
      </w:divBdr>
    </w:div>
    <w:div w:id="1980920082">
      <w:bodyDiv w:val="1"/>
      <w:marLeft w:val="0"/>
      <w:marRight w:val="0"/>
      <w:marTop w:val="0"/>
      <w:marBottom w:val="0"/>
      <w:divBdr>
        <w:top w:val="none" w:sz="0" w:space="0" w:color="auto"/>
        <w:left w:val="none" w:sz="0" w:space="0" w:color="auto"/>
        <w:bottom w:val="none" w:sz="0" w:space="0" w:color="auto"/>
        <w:right w:val="none" w:sz="0" w:space="0" w:color="auto"/>
      </w:divBdr>
    </w:div>
    <w:div w:id="1981841319">
      <w:bodyDiv w:val="1"/>
      <w:marLeft w:val="0"/>
      <w:marRight w:val="0"/>
      <w:marTop w:val="0"/>
      <w:marBottom w:val="0"/>
      <w:divBdr>
        <w:top w:val="none" w:sz="0" w:space="0" w:color="auto"/>
        <w:left w:val="none" w:sz="0" w:space="0" w:color="auto"/>
        <w:bottom w:val="none" w:sz="0" w:space="0" w:color="auto"/>
        <w:right w:val="none" w:sz="0" w:space="0" w:color="auto"/>
      </w:divBdr>
    </w:div>
    <w:div w:id="1984499726">
      <w:bodyDiv w:val="1"/>
      <w:marLeft w:val="0"/>
      <w:marRight w:val="0"/>
      <w:marTop w:val="0"/>
      <w:marBottom w:val="0"/>
      <w:divBdr>
        <w:top w:val="none" w:sz="0" w:space="0" w:color="auto"/>
        <w:left w:val="none" w:sz="0" w:space="0" w:color="auto"/>
        <w:bottom w:val="none" w:sz="0" w:space="0" w:color="auto"/>
        <w:right w:val="none" w:sz="0" w:space="0" w:color="auto"/>
      </w:divBdr>
    </w:div>
    <w:div w:id="1994143369">
      <w:bodyDiv w:val="1"/>
      <w:marLeft w:val="0"/>
      <w:marRight w:val="0"/>
      <w:marTop w:val="0"/>
      <w:marBottom w:val="0"/>
      <w:divBdr>
        <w:top w:val="none" w:sz="0" w:space="0" w:color="auto"/>
        <w:left w:val="none" w:sz="0" w:space="0" w:color="auto"/>
        <w:bottom w:val="none" w:sz="0" w:space="0" w:color="auto"/>
        <w:right w:val="none" w:sz="0" w:space="0" w:color="auto"/>
      </w:divBdr>
    </w:div>
    <w:div w:id="1996568221">
      <w:bodyDiv w:val="1"/>
      <w:marLeft w:val="0"/>
      <w:marRight w:val="0"/>
      <w:marTop w:val="0"/>
      <w:marBottom w:val="0"/>
      <w:divBdr>
        <w:top w:val="none" w:sz="0" w:space="0" w:color="auto"/>
        <w:left w:val="none" w:sz="0" w:space="0" w:color="auto"/>
        <w:bottom w:val="none" w:sz="0" w:space="0" w:color="auto"/>
        <w:right w:val="none" w:sz="0" w:space="0" w:color="auto"/>
      </w:divBdr>
    </w:div>
    <w:div w:id="1996907866">
      <w:bodyDiv w:val="1"/>
      <w:marLeft w:val="0"/>
      <w:marRight w:val="0"/>
      <w:marTop w:val="0"/>
      <w:marBottom w:val="0"/>
      <w:divBdr>
        <w:top w:val="none" w:sz="0" w:space="0" w:color="auto"/>
        <w:left w:val="none" w:sz="0" w:space="0" w:color="auto"/>
        <w:bottom w:val="none" w:sz="0" w:space="0" w:color="auto"/>
        <w:right w:val="none" w:sz="0" w:space="0" w:color="auto"/>
      </w:divBdr>
    </w:div>
    <w:div w:id="1997686235">
      <w:bodyDiv w:val="1"/>
      <w:marLeft w:val="0"/>
      <w:marRight w:val="0"/>
      <w:marTop w:val="0"/>
      <w:marBottom w:val="0"/>
      <w:divBdr>
        <w:top w:val="none" w:sz="0" w:space="0" w:color="auto"/>
        <w:left w:val="none" w:sz="0" w:space="0" w:color="auto"/>
        <w:bottom w:val="none" w:sz="0" w:space="0" w:color="auto"/>
        <w:right w:val="none" w:sz="0" w:space="0" w:color="auto"/>
      </w:divBdr>
    </w:div>
    <w:div w:id="2002390706">
      <w:bodyDiv w:val="1"/>
      <w:marLeft w:val="0"/>
      <w:marRight w:val="0"/>
      <w:marTop w:val="0"/>
      <w:marBottom w:val="0"/>
      <w:divBdr>
        <w:top w:val="none" w:sz="0" w:space="0" w:color="auto"/>
        <w:left w:val="none" w:sz="0" w:space="0" w:color="auto"/>
        <w:bottom w:val="none" w:sz="0" w:space="0" w:color="auto"/>
        <w:right w:val="none" w:sz="0" w:space="0" w:color="auto"/>
      </w:divBdr>
    </w:div>
    <w:div w:id="2008362704">
      <w:bodyDiv w:val="1"/>
      <w:marLeft w:val="0"/>
      <w:marRight w:val="0"/>
      <w:marTop w:val="0"/>
      <w:marBottom w:val="0"/>
      <w:divBdr>
        <w:top w:val="none" w:sz="0" w:space="0" w:color="auto"/>
        <w:left w:val="none" w:sz="0" w:space="0" w:color="auto"/>
        <w:bottom w:val="none" w:sz="0" w:space="0" w:color="auto"/>
        <w:right w:val="none" w:sz="0" w:space="0" w:color="auto"/>
      </w:divBdr>
    </w:div>
    <w:div w:id="2015452758">
      <w:bodyDiv w:val="1"/>
      <w:marLeft w:val="0"/>
      <w:marRight w:val="0"/>
      <w:marTop w:val="0"/>
      <w:marBottom w:val="0"/>
      <w:divBdr>
        <w:top w:val="none" w:sz="0" w:space="0" w:color="auto"/>
        <w:left w:val="none" w:sz="0" w:space="0" w:color="auto"/>
        <w:bottom w:val="none" w:sz="0" w:space="0" w:color="auto"/>
        <w:right w:val="none" w:sz="0" w:space="0" w:color="auto"/>
      </w:divBdr>
    </w:div>
    <w:div w:id="2017030197">
      <w:bodyDiv w:val="1"/>
      <w:marLeft w:val="0"/>
      <w:marRight w:val="0"/>
      <w:marTop w:val="0"/>
      <w:marBottom w:val="0"/>
      <w:divBdr>
        <w:top w:val="none" w:sz="0" w:space="0" w:color="auto"/>
        <w:left w:val="none" w:sz="0" w:space="0" w:color="auto"/>
        <w:bottom w:val="none" w:sz="0" w:space="0" w:color="auto"/>
        <w:right w:val="none" w:sz="0" w:space="0" w:color="auto"/>
      </w:divBdr>
    </w:div>
    <w:div w:id="2020039684">
      <w:bodyDiv w:val="1"/>
      <w:marLeft w:val="0"/>
      <w:marRight w:val="0"/>
      <w:marTop w:val="0"/>
      <w:marBottom w:val="0"/>
      <w:divBdr>
        <w:top w:val="none" w:sz="0" w:space="0" w:color="auto"/>
        <w:left w:val="none" w:sz="0" w:space="0" w:color="auto"/>
        <w:bottom w:val="none" w:sz="0" w:space="0" w:color="auto"/>
        <w:right w:val="none" w:sz="0" w:space="0" w:color="auto"/>
      </w:divBdr>
    </w:div>
    <w:div w:id="2026243715">
      <w:bodyDiv w:val="1"/>
      <w:marLeft w:val="0"/>
      <w:marRight w:val="0"/>
      <w:marTop w:val="0"/>
      <w:marBottom w:val="0"/>
      <w:divBdr>
        <w:top w:val="none" w:sz="0" w:space="0" w:color="auto"/>
        <w:left w:val="none" w:sz="0" w:space="0" w:color="auto"/>
        <w:bottom w:val="none" w:sz="0" w:space="0" w:color="auto"/>
        <w:right w:val="none" w:sz="0" w:space="0" w:color="auto"/>
      </w:divBdr>
    </w:div>
    <w:div w:id="2026902899">
      <w:bodyDiv w:val="1"/>
      <w:marLeft w:val="0"/>
      <w:marRight w:val="0"/>
      <w:marTop w:val="0"/>
      <w:marBottom w:val="0"/>
      <w:divBdr>
        <w:top w:val="none" w:sz="0" w:space="0" w:color="auto"/>
        <w:left w:val="none" w:sz="0" w:space="0" w:color="auto"/>
        <w:bottom w:val="none" w:sz="0" w:space="0" w:color="auto"/>
        <w:right w:val="none" w:sz="0" w:space="0" w:color="auto"/>
      </w:divBdr>
    </w:div>
    <w:div w:id="2030377574">
      <w:bodyDiv w:val="1"/>
      <w:marLeft w:val="0"/>
      <w:marRight w:val="0"/>
      <w:marTop w:val="0"/>
      <w:marBottom w:val="0"/>
      <w:divBdr>
        <w:top w:val="none" w:sz="0" w:space="0" w:color="auto"/>
        <w:left w:val="none" w:sz="0" w:space="0" w:color="auto"/>
        <w:bottom w:val="none" w:sz="0" w:space="0" w:color="auto"/>
        <w:right w:val="none" w:sz="0" w:space="0" w:color="auto"/>
      </w:divBdr>
    </w:div>
    <w:div w:id="2031830992">
      <w:bodyDiv w:val="1"/>
      <w:marLeft w:val="0"/>
      <w:marRight w:val="0"/>
      <w:marTop w:val="0"/>
      <w:marBottom w:val="0"/>
      <w:divBdr>
        <w:top w:val="none" w:sz="0" w:space="0" w:color="auto"/>
        <w:left w:val="none" w:sz="0" w:space="0" w:color="auto"/>
        <w:bottom w:val="none" w:sz="0" w:space="0" w:color="auto"/>
        <w:right w:val="none" w:sz="0" w:space="0" w:color="auto"/>
      </w:divBdr>
    </w:div>
    <w:div w:id="2032146644">
      <w:bodyDiv w:val="1"/>
      <w:marLeft w:val="0"/>
      <w:marRight w:val="0"/>
      <w:marTop w:val="0"/>
      <w:marBottom w:val="0"/>
      <w:divBdr>
        <w:top w:val="none" w:sz="0" w:space="0" w:color="auto"/>
        <w:left w:val="none" w:sz="0" w:space="0" w:color="auto"/>
        <w:bottom w:val="none" w:sz="0" w:space="0" w:color="auto"/>
        <w:right w:val="none" w:sz="0" w:space="0" w:color="auto"/>
      </w:divBdr>
    </w:div>
    <w:div w:id="2032994985">
      <w:bodyDiv w:val="1"/>
      <w:marLeft w:val="0"/>
      <w:marRight w:val="0"/>
      <w:marTop w:val="0"/>
      <w:marBottom w:val="0"/>
      <w:divBdr>
        <w:top w:val="none" w:sz="0" w:space="0" w:color="auto"/>
        <w:left w:val="none" w:sz="0" w:space="0" w:color="auto"/>
        <w:bottom w:val="none" w:sz="0" w:space="0" w:color="auto"/>
        <w:right w:val="none" w:sz="0" w:space="0" w:color="auto"/>
      </w:divBdr>
    </w:div>
    <w:div w:id="2039088949">
      <w:bodyDiv w:val="1"/>
      <w:marLeft w:val="0"/>
      <w:marRight w:val="0"/>
      <w:marTop w:val="0"/>
      <w:marBottom w:val="0"/>
      <w:divBdr>
        <w:top w:val="none" w:sz="0" w:space="0" w:color="auto"/>
        <w:left w:val="none" w:sz="0" w:space="0" w:color="auto"/>
        <w:bottom w:val="none" w:sz="0" w:space="0" w:color="auto"/>
        <w:right w:val="none" w:sz="0" w:space="0" w:color="auto"/>
      </w:divBdr>
    </w:div>
    <w:div w:id="2046754870">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50110216">
      <w:bodyDiv w:val="1"/>
      <w:marLeft w:val="0"/>
      <w:marRight w:val="0"/>
      <w:marTop w:val="0"/>
      <w:marBottom w:val="0"/>
      <w:divBdr>
        <w:top w:val="none" w:sz="0" w:space="0" w:color="auto"/>
        <w:left w:val="none" w:sz="0" w:space="0" w:color="auto"/>
        <w:bottom w:val="none" w:sz="0" w:space="0" w:color="auto"/>
        <w:right w:val="none" w:sz="0" w:space="0" w:color="auto"/>
      </w:divBdr>
    </w:div>
    <w:div w:id="2052224669">
      <w:bodyDiv w:val="1"/>
      <w:marLeft w:val="0"/>
      <w:marRight w:val="0"/>
      <w:marTop w:val="0"/>
      <w:marBottom w:val="0"/>
      <w:divBdr>
        <w:top w:val="none" w:sz="0" w:space="0" w:color="auto"/>
        <w:left w:val="none" w:sz="0" w:space="0" w:color="auto"/>
        <w:bottom w:val="none" w:sz="0" w:space="0" w:color="auto"/>
        <w:right w:val="none" w:sz="0" w:space="0" w:color="auto"/>
      </w:divBdr>
    </w:div>
    <w:div w:id="2057926563">
      <w:bodyDiv w:val="1"/>
      <w:marLeft w:val="0"/>
      <w:marRight w:val="0"/>
      <w:marTop w:val="0"/>
      <w:marBottom w:val="0"/>
      <w:divBdr>
        <w:top w:val="none" w:sz="0" w:space="0" w:color="auto"/>
        <w:left w:val="none" w:sz="0" w:space="0" w:color="auto"/>
        <w:bottom w:val="none" w:sz="0" w:space="0" w:color="auto"/>
        <w:right w:val="none" w:sz="0" w:space="0" w:color="auto"/>
      </w:divBdr>
    </w:div>
    <w:div w:id="2060401561">
      <w:bodyDiv w:val="1"/>
      <w:marLeft w:val="0"/>
      <w:marRight w:val="0"/>
      <w:marTop w:val="0"/>
      <w:marBottom w:val="0"/>
      <w:divBdr>
        <w:top w:val="none" w:sz="0" w:space="0" w:color="auto"/>
        <w:left w:val="none" w:sz="0" w:space="0" w:color="auto"/>
        <w:bottom w:val="none" w:sz="0" w:space="0" w:color="auto"/>
        <w:right w:val="none" w:sz="0" w:space="0" w:color="auto"/>
      </w:divBdr>
    </w:div>
    <w:div w:id="2062096590">
      <w:bodyDiv w:val="1"/>
      <w:marLeft w:val="0"/>
      <w:marRight w:val="0"/>
      <w:marTop w:val="0"/>
      <w:marBottom w:val="0"/>
      <w:divBdr>
        <w:top w:val="none" w:sz="0" w:space="0" w:color="auto"/>
        <w:left w:val="none" w:sz="0" w:space="0" w:color="auto"/>
        <w:bottom w:val="none" w:sz="0" w:space="0" w:color="auto"/>
        <w:right w:val="none" w:sz="0" w:space="0" w:color="auto"/>
      </w:divBdr>
    </w:div>
    <w:div w:id="2062362154">
      <w:bodyDiv w:val="1"/>
      <w:marLeft w:val="0"/>
      <w:marRight w:val="0"/>
      <w:marTop w:val="0"/>
      <w:marBottom w:val="0"/>
      <w:divBdr>
        <w:top w:val="none" w:sz="0" w:space="0" w:color="auto"/>
        <w:left w:val="none" w:sz="0" w:space="0" w:color="auto"/>
        <w:bottom w:val="none" w:sz="0" w:space="0" w:color="auto"/>
        <w:right w:val="none" w:sz="0" w:space="0" w:color="auto"/>
      </w:divBdr>
    </w:div>
    <w:div w:id="2066953525">
      <w:bodyDiv w:val="1"/>
      <w:marLeft w:val="0"/>
      <w:marRight w:val="0"/>
      <w:marTop w:val="0"/>
      <w:marBottom w:val="0"/>
      <w:divBdr>
        <w:top w:val="none" w:sz="0" w:space="0" w:color="auto"/>
        <w:left w:val="none" w:sz="0" w:space="0" w:color="auto"/>
        <w:bottom w:val="none" w:sz="0" w:space="0" w:color="auto"/>
        <w:right w:val="none" w:sz="0" w:space="0" w:color="auto"/>
      </w:divBdr>
    </w:div>
    <w:div w:id="2068604182">
      <w:bodyDiv w:val="1"/>
      <w:marLeft w:val="0"/>
      <w:marRight w:val="0"/>
      <w:marTop w:val="0"/>
      <w:marBottom w:val="0"/>
      <w:divBdr>
        <w:top w:val="none" w:sz="0" w:space="0" w:color="auto"/>
        <w:left w:val="none" w:sz="0" w:space="0" w:color="auto"/>
        <w:bottom w:val="none" w:sz="0" w:space="0" w:color="auto"/>
        <w:right w:val="none" w:sz="0" w:space="0" w:color="auto"/>
      </w:divBdr>
    </w:div>
    <w:div w:id="2068721710">
      <w:bodyDiv w:val="1"/>
      <w:marLeft w:val="0"/>
      <w:marRight w:val="0"/>
      <w:marTop w:val="0"/>
      <w:marBottom w:val="0"/>
      <w:divBdr>
        <w:top w:val="none" w:sz="0" w:space="0" w:color="auto"/>
        <w:left w:val="none" w:sz="0" w:space="0" w:color="auto"/>
        <w:bottom w:val="none" w:sz="0" w:space="0" w:color="auto"/>
        <w:right w:val="none" w:sz="0" w:space="0" w:color="auto"/>
      </w:divBdr>
    </w:div>
    <w:div w:id="2075926764">
      <w:bodyDiv w:val="1"/>
      <w:marLeft w:val="0"/>
      <w:marRight w:val="0"/>
      <w:marTop w:val="0"/>
      <w:marBottom w:val="0"/>
      <w:divBdr>
        <w:top w:val="none" w:sz="0" w:space="0" w:color="auto"/>
        <w:left w:val="none" w:sz="0" w:space="0" w:color="auto"/>
        <w:bottom w:val="none" w:sz="0" w:space="0" w:color="auto"/>
        <w:right w:val="none" w:sz="0" w:space="0" w:color="auto"/>
      </w:divBdr>
    </w:div>
    <w:div w:id="2080863567">
      <w:bodyDiv w:val="1"/>
      <w:marLeft w:val="0"/>
      <w:marRight w:val="0"/>
      <w:marTop w:val="0"/>
      <w:marBottom w:val="0"/>
      <w:divBdr>
        <w:top w:val="none" w:sz="0" w:space="0" w:color="auto"/>
        <w:left w:val="none" w:sz="0" w:space="0" w:color="auto"/>
        <w:bottom w:val="none" w:sz="0" w:space="0" w:color="auto"/>
        <w:right w:val="none" w:sz="0" w:space="0" w:color="auto"/>
      </w:divBdr>
    </w:div>
    <w:div w:id="2093894765">
      <w:bodyDiv w:val="1"/>
      <w:marLeft w:val="0"/>
      <w:marRight w:val="0"/>
      <w:marTop w:val="0"/>
      <w:marBottom w:val="0"/>
      <w:divBdr>
        <w:top w:val="none" w:sz="0" w:space="0" w:color="auto"/>
        <w:left w:val="none" w:sz="0" w:space="0" w:color="auto"/>
        <w:bottom w:val="none" w:sz="0" w:space="0" w:color="auto"/>
        <w:right w:val="none" w:sz="0" w:space="0" w:color="auto"/>
      </w:divBdr>
    </w:div>
    <w:div w:id="2099446227">
      <w:bodyDiv w:val="1"/>
      <w:marLeft w:val="0"/>
      <w:marRight w:val="0"/>
      <w:marTop w:val="0"/>
      <w:marBottom w:val="0"/>
      <w:divBdr>
        <w:top w:val="none" w:sz="0" w:space="0" w:color="auto"/>
        <w:left w:val="none" w:sz="0" w:space="0" w:color="auto"/>
        <w:bottom w:val="none" w:sz="0" w:space="0" w:color="auto"/>
        <w:right w:val="none" w:sz="0" w:space="0" w:color="auto"/>
      </w:divBdr>
    </w:div>
    <w:div w:id="2101413840">
      <w:bodyDiv w:val="1"/>
      <w:marLeft w:val="0"/>
      <w:marRight w:val="0"/>
      <w:marTop w:val="0"/>
      <w:marBottom w:val="0"/>
      <w:divBdr>
        <w:top w:val="none" w:sz="0" w:space="0" w:color="auto"/>
        <w:left w:val="none" w:sz="0" w:space="0" w:color="auto"/>
        <w:bottom w:val="none" w:sz="0" w:space="0" w:color="auto"/>
        <w:right w:val="none" w:sz="0" w:space="0" w:color="auto"/>
      </w:divBdr>
    </w:div>
    <w:div w:id="2105223838">
      <w:bodyDiv w:val="1"/>
      <w:marLeft w:val="0"/>
      <w:marRight w:val="0"/>
      <w:marTop w:val="0"/>
      <w:marBottom w:val="0"/>
      <w:divBdr>
        <w:top w:val="none" w:sz="0" w:space="0" w:color="auto"/>
        <w:left w:val="none" w:sz="0" w:space="0" w:color="auto"/>
        <w:bottom w:val="none" w:sz="0" w:space="0" w:color="auto"/>
        <w:right w:val="none" w:sz="0" w:space="0" w:color="auto"/>
      </w:divBdr>
    </w:div>
    <w:div w:id="2106490563">
      <w:bodyDiv w:val="1"/>
      <w:marLeft w:val="0"/>
      <w:marRight w:val="0"/>
      <w:marTop w:val="0"/>
      <w:marBottom w:val="0"/>
      <w:divBdr>
        <w:top w:val="none" w:sz="0" w:space="0" w:color="auto"/>
        <w:left w:val="none" w:sz="0" w:space="0" w:color="auto"/>
        <w:bottom w:val="none" w:sz="0" w:space="0" w:color="auto"/>
        <w:right w:val="none" w:sz="0" w:space="0" w:color="auto"/>
      </w:divBdr>
    </w:div>
    <w:div w:id="2108115749">
      <w:bodyDiv w:val="1"/>
      <w:marLeft w:val="0"/>
      <w:marRight w:val="0"/>
      <w:marTop w:val="0"/>
      <w:marBottom w:val="0"/>
      <w:divBdr>
        <w:top w:val="none" w:sz="0" w:space="0" w:color="auto"/>
        <w:left w:val="none" w:sz="0" w:space="0" w:color="auto"/>
        <w:bottom w:val="none" w:sz="0" w:space="0" w:color="auto"/>
        <w:right w:val="none" w:sz="0" w:space="0" w:color="auto"/>
      </w:divBdr>
    </w:div>
    <w:div w:id="2109158071">
      <w:bodyDiv w:val="1"/>
      <w:marLeft w:val="0"/>
      <w:marRight w:val="0"/>
      <w:marTop w:val="0"/>
      <w:marBottom w:val="0"/>
      <w:divBdr>
        <w:top w:val="none" w:sz="0" w:space="0" w:color="auto"/>
        <w:left w:val="none" w:sz="0" w:space="0" w:color="auto"/>
        <w:bottom w:val="none" w:sz="0" w:space="0" w:color="auto"/>
        <w:right w:val="none" w:sz="0" w:space="0" w:color="auto"/>
      </w:divBdr>
    </w:div>
    <w:div w:id="2113627158">
      <w:bodyDiv w:val="1"/>
      <w:marLeft w:val="0"/>
      <w:marRight w:val="0"/>
      <w:marTop w:val="0"/>
      <w:marBottom w:val="0"/>
      <w:divBdr>
        <w:top w:val="none" w:sz="0" w:space="0" w:color="auto"/>
        <w:left w:val="none" w:sz="0" w:space="0" w:color="auto"/>
        <w:bottom w:val="none" w:sz="0" w:space="0" w:color="auto"/>
        <w:right w:val="none" w:sz="0" w:space="0" w:color="auto"/>
      </w:divBdr>
    </w:div>
    <w:div w:id="2121101713">
      <w:bodyDiv w:val="1"/>
      <w:marLeft w:val="0"/>
      <w:marRight w:val="0"/>
      <w:marTop w:val="0"/>
      <w:marBottom w:val="0"/>
      <w:divBdr>
        <w:top w:val="none" w:sz="0" w:space="0" w:color="auto"/>
        <w:left w:val="none" w:sz="0" w:space="0" w:color="auto"/>
        <w:bottom w:val="none" w:sz="0" w:space="0" w:color="auto"/>
        <w:right w:val="none" w:sz="0" w:space="0" w:color="auto"/>
      </w:divBdr>
    </w:div>
    <w:div w:id="2125884218">
      <w:bodyDiv w:val="1"/>
      <w:marLeft w:val="0"/>
      <w:marRight w:val="0"/>
      <w:marTop w:val="0"/>
      <w:marBottom w:val="0"/>
      <w:divBdr>
        <w:top w:val="none" w:sz="0" w:space="0" w:color="auto"/>
        <w:left w:val="none" w:sz="0" w:space="0" w:color="auto"/>
        <w:bottom w:val="none" w:sz="0" w:space="0" w:color="auto"/>
        <w:right w:val="none" w:sz="0" w:space="0" w:color="auto"/>
      </w:divBdr>
    </w:div>
    <w:div w:id="2127306540">
      <w:bodyDiv w:val="1"/>
      <w:marLeft w:val="0"/>
      <w:marRight w:val="0"/>
      <w:marTop w:val="0"/>
      <w:marBottom w:val="0"/>
      <w:divBdr>
        <w:top w:val="none" w:sz="0" w:space="0" w:color="auto"/>
        <w:left w:val="none" w:sz="0" w:space="0" w:color="auto"/>
        <w:bottom w:val="none" w:sz="0" w:space="0" w:color="auto"/>
        <w:right w:val="none" w:sz="0" w:space="0" w:color="auto"/>
      </w:divBdr>
    </w:div>
    <w:div w:id="2129153268">
      <w:bodyDiv w:val="1"/>
      <w:marLeft w:val="0"/>
      <w:marRight w:val="0"/>
      <w:marTop w:val="0"/>
      <w:marBottom w:val="0"/>
      <w:divBdr>
        <w:top w:val="none" w:sz="0" w:space="0" w:color="auto"/>
        <w:left w:val="none" w:sz="0" w:space="0" w:color="auto"/>
        <w:bottom w:val="none" w:sz="0" w:space="0" w:color="auto"/>
        <w:right w:val="none" w:sz="0" w:space="0" w:color="auto"/>
      </w:divBdr>
    </w:div>
    <w:div w:id="2129346724">
      <w:bodyDiv w:val="1"/>
      <w:marLeft w:val="0"/>
      <w:marRight w:val="0"/>
      <w:marTop w:val="0"/>
      <w:marBottom w:val="0"/>
      <w:divBdr>
        <w:top w:val="none" w:sz="0" w:space="0" w:color="auto"/>
        <w:left w:val="none" w:sz="0" w:space="0" w:color="auto"/>
        <w:bottom w:val="none" w:sz="0" w:space="0" w:color="auto"/>
        <w:right w:val="none" w:sz="0" w:space="0" w:color="auto"/>
      </w:divBdr>
    </w:div>
    <w:div w:id="2132430122">
      <w:bodyDiv w:val="1"/>
      <w:marLeft w:val="0"/>
      <w:marRight w:val="0"/>
      <w:marTop w:val="0"/>
      <w:marBottom w:val="0"/>
      <w:divBdr>
        <w:top w:val="none" w:sz="0" w:space="0" w:color="auto"/>
        <w:left w:val="none" w:sz="0" w:space="0" w:color="auto"/>
        <w:bottom w:val="none" w:sz="0" w:space="0" w:color="auto"/>
        <w:right w:val="none" w:sz="0" w:space="0" w:color="auto"/>
      </w:divBdr>
    </w:div>
    <w:div w:id="2134638964">
      <w:bodyDiv w:val="1"/>
      <w:marLeft w:val="0"/>
      <w:marRight w:val="0"/>
      <w:marTop w:val="0"/>
      <w:marBottom w:val="0"/>
      <w:divBdr>
        <w:top w:val="none" w:sz="0" w:space="0" w:color="auto"/>
        <w:left w:val="none" w:sz="0" w:space="0" w:color="auto"/>
        <w:bottom w:val="none" w:sz="0" w:space="0" w:color="auto"/>
        <w:right w:val="none" w:sz="0" w:space="0" w:color="auto"/>
      </w:divBdr>
    </w:div>
    <w:div w:id="2135250961">
      <w:bodyDiv w:val="1"/>
      <w:marLeft w:val="0"/>
      <w:marRight w:val="0"/>
      <w:marTop w:val="0"/>
      <w:marBottom w:val="0"/>
      <w:divBdr>
        <w:top w:val="none" w:sz="0" w:space="0" w:color="auto"/>
        <w:left w:val="none" w:sz="0" w:space="0" w:color="auto"/>
        <w:bottom w:val="none" w:sz="0" w:space="0" w:color="auto"/>
        <w:right w:val="none" w:sz="0" w:space="0" w:color="auto"/>
      </w:divBdr>
    </w:div>
    <w:div w:id="2137872034">
      <w:bodyDiv w:val="1"/>
      <w:marLeft w:val="0"/>
      <w:marRight w:val="0"/>
      <w:marTop w:val="0"/>
      <w:marBottom w:val="0"/>
      <w:divBdr>
        <w:top w:val="none" w:sz="0" w:space="0" w:color="auto"/>
        <w:left w:val="none" w:sz="0" w:space="0" w:color="auto"/>
        <w:bottom w:val="none" w:sz="0" w:space="0" w:color="auto"/>
        <w:right w:val="none" w:sz="0" w:space="0" w:color="auto"/>
      </w:divBdr>
    </w:div>
    <w:div w:id="2142069594">
      <w:bodyDiv w:val="1"/>
      <w:marLeft w:val="0"/>
      <w:marRight w:val="0"/>
      <w:marTop w:val="0"/>
      <w:marBottom w:val="0"/>
      <w:divBdr>
        <w:top w:val="none" w:sz="0" w:space="0" w:color="auto"/>
        <w:left w:val="none" w:sz="0" w:space="0" w:color="auto"/>
        <w:bottom w:val="none" w:sz="0" w:space="0" w:color="auto"/>
        <w:right w:val="none" w:sz="0" w:space="0" w:color="auto"/>
      </w:divBdr>
    </w:div>
    <w:div w:id="2145348466">
      <w:bodyDiv w:val="1"/>
      <w:marLeft w:val="0"/>
      <w:marRight w:val="0"/>
      <w:marTop w:val="0"/>
      <w:marBottom w:val="0"/>
      <w:divBdr>
        <w:top w:val="none" w:sz="0" w:space="0" w:color="auto"/>
        <w:left w:val="none" w:sz="0" w:space="0" w:color="auto"/>
        <w:bottom w:val="none" w:sz="0" w:space="0" w:color="auto"/>
        <w:right w:val="none" w:sz="0" w:space="0" w:color="auto"/>
      </w:divBdr>
    </w:div>
    <w:div w:id="2145535606">
      <w:bodyDiv w:val="1"/>
      <w:marLeft w:val="0"/>
      <w:marRight w:val="0"/>
      <w:marTop w:val="0"/>
      <w:marBottom w:val="0"/>
      <w:divBdr>
        <w:top w:val="none" w:sz="0" w:space="0" w:color="auto"/>
        <w:left w:val="none" w:sz="0" w:space="0" w:color="auto"/>
        <w:bottom w:val="none" w:sz="0" w:space="0" w:color="auto"/>
        <w:right w:val="none" w:sz="0" w:space="0" w:color="auto"/>
      </w:divBdr>
    </w:div>
    <w:div w:id="2146848476">
      <w:bodyDiv w:val="1"/>
      <w:marLeft w:val="0"/>
      <w:marRight w:val="0"/>
      <w:marTop w:val="0"/>
      <w:marBottom w:val="0"/>
      <w:divBdr>
        <w:top w:val="none" w:sz="0" w:space="0" w:color="auto"/>
        <w:left w:val="none" w:sz="0" w:space="0" w:color="auto"/>
        <w:bottom w:val="none" w:sz="0" w:space="0" w:color="auto"/>
        <w:right w:val="none" w:sz="0" w:space="0" w:color="auto"/>
      </w:divBdr>
    </w:div>
    <w:div w:id="2147114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chart" Target="charts/chart10.xml"/><Relationship Id="rId21" Type="http://schemas.openxmlformats.org/officeDocument/2006/relationships/chart" Target="charts/chart5.xml"/><Relationship Id="rId34" Type="http://schemas.openxmlformats.org/officeDocument/2006/relationships/footer" Target="footer5.xml"/><Relationship Id="rId42" Type="http://schemas.openxmlformats.org/officeDocument/2006/relationships/footer" Target="footer10.xml"/><Relationship Id="rId47" Type="http://schemas.openxmlformats.org/officeDocument/2006/relationships/chart" Target="charts/chart17.xml"/><Relationship Id="rId50" Type="http://schemas.openxmlformats.org/officeDocument/2006/relationships/footer" Target="footer16.xml"/><Relationship Id="rId55" Type="http://schemas.openxmlformats.org/officeDocument/2006/relationships/chart" Target="charts/chart18.xml"/><Relationship Id="rId63" Type="http://schemas.openxmlformats.org/officeDocument/2006/relationships/chart" Target="charts/chart2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nsplash.com/photos/xgFE3m3kayg" TargetMode="External"/><Relationship Id="rId29" Type="http://schemas.openxmlformats.org/officeDocument/2006/relationships/hyperlink" Target="https://minuomavalitsus.ee/omavalitsuste-finantsolukorra-indeks" TargetMode="External"/><Relationship Id="rId11" Type="http://schemas.openxmlformats.org/officeDocument/2006/relationships/image" Target="media/image1.jpeg"/><Relationship Id="rId24" Type="http://schemas.openxmlformats.org/officeDocument/2006/relationships/chart" Target="charts/chart8.xml"/><Relationship Id="rId32" Type="http://schemas.openxmlformats.org/officeDocument/2006/relationships/footer" Target="footer3.xml"/><Relationship Id="rId37" Type="http://schemas.openxmlformats.org/officeDocument/2006/relationships/footer" Target="footer7.xml"/><Relationship Id="rId40" Type="http://schemas.openxmlformats.org/officeDocument/2006/relationships/chart" Target="charts/chart15.xml"/><Relationship Id="rId45" Type="http://schemas.openxmlformats.org/officeDocument/2006/relationships/footer" Target="footer13.xml"/><Relationship Id="rId53" Type="http://schemas.openxmlformats.org/officeDocument/2006/relationships/footer" Target="footer19.xml"/><Relationship Id="rId58" Type="http://schemas.openxmlformats.org/officeDocument/2006/relationships/chart" Target="charts/chart19.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chart" Target="charts/chart22.xml"/><Relationship Id="rId19" Type="http://schemas.openxmlformats.org/officeDocument/2006/relationships/chart" Target="charts/chart3.xml"/><Relationship Id="rId14" Type="http://schemas.openxmlformats.org/officeDocument/2006/relationships/hyperlink" Target="https://eelarvenoukogu.ee/" TargetMode="External"/><Relationship Id="rId22" Type="http://schemas.openxmlformats.org/officeDocument/2006/relationships/chart" Target="charts/chart6.xml"/><Relationship Id="rId27" Type="http://schemas.openxmlformats.org/officeDocument/2006/relationships/image" Target="media/image2.png"/><Relationship Id="rId30" Type="http://schemas.openxmlformats.org/officeDocument/2006/relationships/chart" Target="charts/chart11.xml"/><Relationship Id="rId35" Type="http://schemas.openxmlformats.org/officeDocument/2006/relationships/footer" Target="footer6.xml"/><Relationship Id="rId43" Type="http://schemas.openxmlformats.org/officeDocument/2006/relationships/footer" Target="footer11.xml"/><Relationship Id="rId48" Type="http://schemas.openxmlformats.org/officeDocument/2006/relationships/footer" Target="footer14.xml"/><Relationship Id="rId56" Type="http://schemas.openxmlformats.org/officeDocument/2006/relationships/footer" Target="footer21.xml"/><Relationship Id="rId64" Type="http://schemas.openxmlformats.org/officeDocument/2006/relationships/chart" Target="charts/chart25.xml"/><Relationship Id="rId8" Type="http://schemas.openxmlformats.org/officeDocument/2006/relationships/webSettings" Target="webSettings.xml"/><Relationship Id="rId51" Type="http://schemas.openxmlformats.org/officeDocument/2006/relationships/footer" Target="footer17.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footer" Target="footer4.xml"/><Relationship Id="rId38" Type="http://schemas.openxmlformats.org/officeDocument/2006/relationships/footer" Target="footer8.xml"/><Relationship Id="rId46" Type="http://schemas.openxmlformats.org/officeDocument/2006/relationships/chart" Target="charts/chart16.xml"/><Relationship Id="rId59" Type="http://schemas.openxmlformats.org/officeDocument/2006/relationships/chart" Target="charts/chart20.xml"/><Relationship Id="rId20" Type="http://schemas.openxmlformats.org/officeDocument/2006/relationships/chart" Target="charts/chart4.xml"/><Relationship Id="rId41" Type="http://schemas.openxmlformats.org/officeDocument/2006/relationships/footer" Target="footer9.xml"/><Relationship Id="rId54" Type="http://schemas.openxmlformats.org/officeDocument/2006/relationships/footer" Target="footer20.xml"/><Relationship Id="rId62" Type="http://schemas.openxmlformats.org/officeDocument/2006/relationships/chart" Target="charts/chart2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unsplash.com/photos/xgFE3m3kayg" TargetMode="External"/><Relationship Id="rId23" Type="http://schemas.openxmlformats.org/officeDocument/2006/relationships/chart" Target="charts/chart7.xml"/><Relationship Id="rId28" Type="http://schemas.openxmlformats.org/officeDocument/2006/relationships/image" Target="media/image3.png"/><Relationship Id="rId36" Type="http://schemas.openxmlformats.org/officeDocument/2006/relationships/chart" Target="charts/chart13.xml"/><Relationship Id="rId49" Type="http://schemas.openxmlformats.org/officeDocument/2006/relationships/footer" Target="footer15.xml"/><Relationship Id="rId57" Type="http://schemas.openxmlformats.org/officeDocument/2006/relationships/footer" Target="footer22.xml"/><Relationship Id="rId10" Type="http://schemas.openxmlformats.org/officeDocument/2006/relationships/endnotes" Target="endnotes.xml"/><Relationship Id="rId31" Type="http://schemas.openxmlformats.org/officeDocument/2006/relationships/chart" Target="charts/chart12.xml"/><Relationship Id="rId44" Type="http://schemas.openxmlformats.org/officeDocument/2006/relationships/footer" Target="footer12.xml"/><Relationship Id="rId52" Type="http://schemas.openxmlformats.org/officeDocument/2006/relationships/footer" Target="footer18.xml"/><Relationship Id="rId60" Type="http://schemas.openxmlformats.org/officeDocument/2006/relationships/chart" Target="charts/chart21.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hart" Target="charts/chart2.xml"/><Relationship Id="rId39" Type="http://schemas.openxmlformats.org/officeDocument/2006/relationships/chart" Target="charts/chart14.xml"/></Relationships>
</file>

<file path=word/_rels/endnotes.xml.rels><?xml version="1.0" encoding="UTF-8" standalone="yes"?>
<Relationships xmlns="http://schemas.openxmlformats.org/package/2006/relationships"><Relationship Id="rId1" Type="http://schemas.openxmlformats.org/officeDocument/2006/relationships/hyperlink" Target="http://metaweb.stat.ee/view_xml.htm?id=1129771&amp;siteLanguage=e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riik.sise\yld\ram$\FPO\14.%20PROGNOOSID\2023%20suvi\Prognoosi%20seletuskiri\Tabelid%20ja%20joonised%20Suvi%202023_rahandu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riik.sise\yld\ram$\FPO\14.%20PROGNOOSID\2023%20suvi\Prognoosi%20seletuskiri\Tabelid%20ja%20joonised%20Suvi%202023_makr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file:///\\riik.sise\yld\ram$\FPO\14.%20PROGNOOSID\2023%20suvi\Prognoosi%20seletuskiri\Tabelid%20ja%20joonised%20Suvi%202023_rahandus.xlsx" TargetMode="External"/><Relationship Id="rId2" Type="http://schemas.microsoft.com/office/2011/relationships/chartColorStyle" Target="colors4.xml"/><Relationship Id="rId1" Type="http://schemas.microsoft.com/office/2011/relationships/chartStyle" Target="style4.xml"/></Relationships>
</file>

<file path=word/charts/_rels/chart14.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19.xml.rels><?xml version="1.0" encoding="UTF-8" standalone="yes"?>
<Relationships xmlns="http://schemas.openxmlformats.org/package/2006/relationships"><Relationship Id="rId3" Type="http://schemas.openxmlformats.org/officeDocument/2006/relationships/oleObject" Target="file:///\\riik.sise\yld\ram$\FPO\14.%20PROGNOOSID\2023%20suvi\Prognoosi%20seletuskiri\Tabelid%20ja%20joonised%20Suvi%202023_rahandus.xlsx" TargetMode="External"/><Relationship Id="rId2" Type="http://schemas.microsoft.com/office/2011/relationships/chartColorStyle" Target="colors5.xml"/><Relationship Id="rId1" Type="http://schemas.microsoft.com/office/2011/relationships/chartStyle" Target="style5.xml"/></Relationships>
</file>

<file path=word/charts/_rels/chart20.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makro.xlsx" TargetMode="External"/></Relationships>
</file>

<file path=word/charts/_rels/chart22.xml.rels><?xml version="1.0" encoding="UTF-8" standalone="yes"?>
<Relationships xmlns="http://schemas.openxmlformats.org/package/2006/relationships"><Relationship Id="rId3" Type="http://schemas.openxmlformats.org/officeDocument/2006/relationships/oleObject" Target="file:///\\riik.sise\yld\ram$\FPO\14.%20PROGNOOSID\2023%20suvi\Prognoosi%20seletuskiri\Tabelid%20ja%20joonised%20Suvi%202023_rahandus.xlsx" TargetMode="External"/><Relationship Id="rId2" Type="http://schemas.microsoft.com/office/2011/relationships/chartColorStyle" Target="colors6.xml"/><Relationship Id="rId1" Type="http://schemas.microsoft.com/office/2011/relationships/chartStyle" Target="style6.xml"/></Relationships>
</file>

<file path=word/charts/_rels/chart23.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riik.sise\yld\ram$\FPO\14.%20PROGNOOSID\2023%20suvi\Prognoosi%20seletuskiri\Tabelid%20ja%20joonised%20Suvi%202023_rahandus.xlsx" TargetMode="External"/></Relationships>
</file>

<file path=word/charts/_rels/chart25.xml.rels><?xml version="1.0" encoding="UTF-8" standalone="yes"?>
<Relationships xmlns="http://schemas.openxmlformats.org/package/2006/relationships"><Relationship Id="rId2" Type="http://schemas.openxmlformats.org/officeDocument/2006/relationships/oleObject" Target="file:///\\riik.sise\yld\ram$\FPO\14.%20PROGNOOSID\2023%20suvi\Prognoosi%20seletuskiri\Tabelid%20ja%20joonised%20Suvi%202023_rahandus.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2143376846384884E-2"/>
          <c:y val="9.6865079365079362E-2"/>
          <c:w val="0.92423883725298017"/>
          <c:h val="0.75487802396793435"/>
        </c:manualLayout>
      </c:layout>
      <c:lineChart>
        <c:grouping val="standard"/>
        <c:varyColors val="0"/>
        <c:ser>
          <c:idx val="0"/>
          <c:order val="0"/>
          <c:tx>
            <c:strRef>
              <c:f>Joonised!$N$885</c:f>
              <c:strCache>
                <c:ptCount val="1"/>
                <c:pt idx="0">
                  <c:v>Nominaalne eelarvepositsioon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0-FA93-42BE-A4FF-76E48987EA3B}"/>
                </c:ext>
              </c:extLst>
            </c:dLbl>
            <c:dLbl>
              <c:idx val="1"/>
              <c:delete val="1"/>
              <c:extLst>
                <c:ext xmlns:c15="http://schemas.microsoft.com/office/drawing/2012/chart" uri="{CE6537A1-D6FC-4f65-9D91-7224C49458BB}"/>
                <c:ext xmlns:c16="http://schemas.microsoft.com/office/drawing/2014/chart" uri="{C3380CC4-5D6E-409C-BE32-E72D297353CC}">
                  <c16:uniqueId val="{00000001-FA93-42BE-A4FF-76E48987EA3B}"/>
                </c:ext>
              </c:extLst>
            </c:dLbl>
            <c:dLbl>
              <c:idx val="2"/>
              <c:delete val="1"/>
              <c:extLst>
                <c:ext xmlns:c15="http://schemas.microsoft.com/office/drawing/2012/chart" uri="{CE6537A1-D6FC-4f65-9D91-7224C49458BB}"/>
                <c:ext xmlns:c16="http://schemas.microsoft.com/office/drawing/2014/chart" uri="{C3380CC4-5D6E-409C-BE32-E72D297353CC}">
                  <c16:uniqueId val="{00000002-FA93-42BE-A4FF-76E48987EA3B}"/>
                </c:ext>
              </c:extLst>
            </c:dLbl>
            <c:dLbl>
              <c:idx val="3"/>
              <c:delete val="1"/>
              <c:extLst>
                <c:ext xmlns:c15="http://schemas.microsoft.com/office/drawing/2012/chart" uri="{CE6537A1-D6FC-4f65-9D91-7224C49458BB}"/>
                <c:ext xmlns:c16="http://schemas.microsoft.com/office/drawing/2014/chart" uri="{C3380CC4-5D6E-409C-BE32-E72D297353CC}">
                  <c16:uniqueId val="{00000003-FA93-42BE-A4FF-76E48987EA3B}"/>
                </c:ext>
              </c:extLst>
            </c:dLbl>
            <c:dLbl>
              <c:idx val="4"/>
              <c:delete val="1"/>
              <c:extLst>
                <c:ext xmlns:c15="http://schemas.microsoft.com/office/drawing/2012/chart" uri="{CE6537A1-D6FC-4f65-9D91-7224C49458BB}"/>
                <c:ext xmlns:c16="http://schemas.microsoft.com/office/drawing/2014/chart" uri="{C3380CC4-5D6E-409C-BE32-E72D297353CC}">
                  <c16:uniqueId val="{00000004-FA93-42BE-A4FF-76E48987EA3B}"/>
                </c:ext>
              </c:extLst>
            </c:dLbl>
            <c:dLbl>
              <c:idx val="5"/>
              <c:delete val="1"/>
              <c:extLst>
                <c:ext xmlns:c15="http://schemas.microsoft.com/office/drawing/2012/chart" uri="{CE6537A1-D6FC-4f65-9D91-7224C49458BB}"/>
                <c:ext xmlns:c16="http://schemas.microsoft.com/office/drawing/2014/chart" uri="{C3380CC4-5D6E-409C-BE32-E72D297353CC}">
                  <c16:uniqueId val="{00000005-FA93-42BE-A4FF-76E48987EA3B}"/>
                </c:ext>
              </c:extLst>
            </c:dLbl>
            <c:dLbl>
              <c:idx val="6"/>
              <c:delete val="1"/>
              <c:extLst>
                <c:ext xmlns:c15="http://schemas.microsoft.com/office/drawing/2012/chart" uri="{CE6537A1-D6FC-4f65-9D91-7224C49458BB}"/>
                <c:ext xmlns:c16="http://schemas.microsoft.com/office/drawing/2014/chart" uri="{C3380CC4-5D6E-409C-BE32-E72D297353CC}">
                  <c16:uniqueId val="{00000006-FA93-42BE-A4FF-76E48987EA3B}"/>
                </c:ext>
              </c:extLst>
            </c:dLbl>
            <c:dLbl>
              <c:idx val="7"/>
              <c:delete val="1"/>
              <c:extLst>
                <c:ext xmlns:c15="http://schemas.microsoft.com/office/drawing/2012/chart" uri="{CE6537A1-D6FC-4f65-9D91-7224C49458BB}"/>
                <c:ext xmlns:c16="http://schemas.microsoft.com/office/drawing/2014/chart" uri="{C3380CC4-5D6E-409C-BE32-E72D297353CC}">
                  <c16:uniqueId val="{00000007-FA93-42BE-A4FF-76E48987EA3B}"/>
                </c:ext>
              </c:extLst>
            </c:dLbl>
            <c:dLbl>
              <c:idx val="8"/>
              <c:delete val="1"/>
              <c:extLst>
                <c:ext xmlns:c15="http://schemas.microsoft.com/office/drawing/2012/chart" uri="{CE6537A1-D6FC-4f65-9D91-7224C49458BB}"/>
                <c:ext xmlns:c16="http://schemas.microsoft.com/office/drawing/2014/chart" uri="{C3380CC4-5D6E-409C-BE32-E72D297353CC}">
                  <c16:uniqueId val="{00000008-FA93-42BE-A4FF-76E48987EA3B}"/>
                </c:ext>
              </c:extLst>
            </c:dLbl>
            <c:dLbl>
              <c:idx val="9"/>
              <c:delete val="1"/>
              <c:extLst>
                <c:ext xmlns:c15="http://schemas.microsoft.com/office/drawing/2012/chart" uri="{CE6537A1-D6FC-4f65-9D91-7224C49458BB}"/>
                <c:ext xmlns:c16="http://schemas.microsoft.com/office/drawing/2014/chart" uri="{C3380CC4-5D6E-409C-BE32-E72D297353CC}">
                  <c16:uniqueId val="{00000009-FA93-42BE-A4FF-76E48987EA3B}"/>
                </c:ext>
              </c:extLst>
            </c:dLbl>
            <c:dLbl>
              <c:idx val="10"/>
              <c:delete val="1"/>
              <c:extLst>
                <c:ext xmlns:c15="http://schemas.microsoft.com/office/drawing/2012/chart" uri="{CE6537A1-D6FC-4f65-9D91-7224C49458BB}"/>
                <c:ext xmlns:c16="http://schemas.microsoft.com/office/drawing/2014/chart" uri="{C3380CC4-5D6E-409C-BE32-E72D297353CC}">
                  <c16:uniqueId val="{0000000A-FA93-42BE-A4FF-76E48987EA3B}"/>
                </c:ext>
              </c:extLst>
            </c:dLbl>
            <c:dLbl>
              <c:idx val="12"/>
              <c:layout>
                <c:manualLayout>
                  <c:x val="-3.7552334943639451E-2"/>
                  <c:y val="5.71825396825396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A93-42BE-A4FF-76E48987EA3B}"/>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Joonised!$O$884:$AE$884</c:f>
              <c:strCache>
                <c:ptCount val="17"/>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strCache>
            </c:strRef>
          </c:cat>
          <c:val>
            <c:numRef>
              <c:f>Joonised!$O$885:$AE$885</c:f>
              <c:numCache>
                <c:formatCode>_-* #\ ##0.0\ _€_-;\-* #\ ##0.0\ _€_-;_-* "-"??\ _€_-;_-@_-</c:formatCode>
                <c:ptCount val="17"/>
                <c:pt idx="0">
                  <c:v>1.0853140815004916</c:v>
                </c:pt>
                <c:pt idx="1">
                  <c:v>-0.286884788408513</c:v>
                </c:pt>
                <c:pt idx="2">
                  <c:v>0.18032024028597127</c:v>
                </c:pt>
                <c:pt idx="3">
                  <c:v>0.70829301383665366</c:v>
                </c:pt>
                <c:pt idx="4">
                  <c:v>0.11341990083029008</c:v>
                </c:pt>
                <c:pt idx="5">
                  <c:v>-0.41199380170039573</c:v>
                </c:pt>
                <c:pt idx="6">
                  <c:v>-0.47495972073039289</c:v>
                </c:pt>
                <c:pt idx="7">
                  <c:v>-0.55298046444188931</c:v>
                </c:pt>
                <c:pt idx="8">
                  <c:v>0.11985259919144217</c:v>
                </c:pt>
                <c:pt idx="9">
                  <c:v>-5.4753919066715264</c:v>
                </c:pt>
                <c:pt idx="10">
                  <c:v>-2.4270910199236422</c:v>
                </c:pt>
                <c:pt idx="11">
                  <c:v>-0.93137690496289927</c:v>
                </c:pt>
                <c:pt idx="12">
                  <c:v>-3.2880078562812227</c:v>
                </c:pt>
                <c:pt idx="13">
                  <c:v>-2.9051376656560715</c:v>
                </c:pt>
                <c:pt idx="14">
                  <c:v>-4.1092130209156563</c:v>
                </c:pt>
                <c:pt idx="15">
                  <c:v>-4.1639768745306815</c:v>
                </c:pt>
                <c:pt idx="16">
                  <c:v>-4.417955956301495</c:v>
                </c:pt>
              </c:numCache>
            </c:numRef>
          </c:val>
          <c:smooth val="0"/>
          <c:extLst>
            <c:ext xmlns:c16="http://schemas.microsoft.com/office/drawing/2014/chart" uri="{C3380CC4-5D6E-409C-BE32-E72D297353CC}">
              <c16:uniqueId val="{0000000C-FA93-42BE-A4FF-76E48987EA3B}"/>
            </c:ext>
          </c:extLst>
        </c:ser>
        <c:dLbls>
          <c:showLegendKey val="0"/>
          <c:showVal val="0"/>
          <c:showCatName val="0"/>
          <c:showSerName val="0"/>
          <c:showPercent val="0"/>
          <c:showBubbleSize val="0"/>
        </c:dLbls>
        <c:marker val="1"/>
        <c:smooth val="0"/>
        <c:axId val="1298650719"/>
        <c:axId val="1298324159"/>
        <c:extLst>
          <c:ext xmlns:c15="http://schemas.microsoft.com/office/drawing/2012/chart" uri="{02D57815-91ED-43cb-92C2-25804820EDAC}">
            <c15:filteredLineSeries>
              <c15:ser>
                <c:idx val="1"/>
                <c:order val="1"/>
                <c:tx>
                  <c:strRef>
                    <c:extLst>
                      <c:ext uri="{02D57815-91ED-43cb-92C2-25804820EDAC}">
                        <c15:formulaRef>
                          <c15:sqref>Joonised!$N$886</c15:sqref>
                        </c15:formulaRef>
                      </c:ext>
                    </c:extLst>
                    <c:strCache>
                      <c:ptCount val="1"/>
                      <c:pt idx="0">
                        <c:v>Struktuurne eelarvepositsioon</c:v>
                      </c:pt>
                    </c:strCache>
                  </c:strRef>
                </c:tx>
                <c:spPr>
                  <a:ln w="28575" cap="rnd">
                    <a:solidFill>
                      <a:schemeClr val="tx1">
                        <a:lumMod val="50000"/>
                        <a:lumOff val="50000"/>
                      </a:schemeClr>
                    </a:solidFill>
                    <a:round/>
                  </a:ln>
                  <a:effectLst/>
                </c:spPr>
                <c:marker>
                  <c:symbol val="none"/>
                </c:marker>
                <c:dLbls>
                  <c:dLbl>
                    <c:idx val="0"/>
                    <c:delete val="1"/>
                    <c:extLst>
                      <c:ext uri="{CE6537A1-D6FC-4f65-9D91-7224C49458BB}"/>
                      <c:ext xmlns:c16="http://schemas.microsoft.com/office/drawing/2014/chart" uri="{C3380CC4-5D6E-409C-BE32-E72D297353CC}">
                        <c16:uniqueId val="{0000000D-FA93-42BE-A4FF-76E48987EA3B}"/>
                      </c:ext>
                    </c:extLst>
                  </c:dLbl>
                  <c:dLbl>
                    <c:idx val="1"/>
                    <c:delete val="1"/>
                    <c:extLst>
                      <c:ext uri="{CE6537A1-D6FC-4f65-9D91-7224C49458BB}"/>
                      <c:ext xmlns:c16="http://schemas.microsoft.com/office/drawing/2014/chart" uri="{C3380CC4-5D6E-409C-BE32-E72D297353CC}">
                        <c16:uniqueId val="{0000000E-FA93-42BE-A4FF-76E48987EA3B}"/>
                      </c:ext>
                    </c:extLst>
                  </c:dLbl>
                  <c:dLbl>
                    <c:idx val="2"/>
                    <c:delete val="1"/>
                    <c:extLst>
                      <c:ext uri="{CE6537A1-D6FC-4f65-9D91-7224C49458BB}"/>
                      <c:ext xmlns:c16="http://schemas.microsoft.com/office/drawing/2014/chart" uri="{C3380CC4-5D6E-409C-BE32-E72D297353CC}">
                        <c16:uniqueId val="{0000000F-FA93-42BE-A4FF-76E48987EA3B}"/>
                      </c:ext>
                    </c:extLst>
                  </c:dLbl>
                  <c:dLbl>
                    <c:idx val="3"/>
                    <c:delete val="1"/>
                    <c:extLst>
                      <c:ext uri="{CE6537A1-D6FC-4f65-9D91-7224C49458BB}"/>
                      <c:ext xmlns:c16="http://schemas.microsoft.com/office/drawing/2014/chart" uri="{C3380CC4-5D6E-409C-BE32-E72D297353CC}">
                        <c16:uniqueId val="{00000010-FA93-42BE-A4FF-76E48987EA3B}"/>
                      </c:ext>
                    </c:extLst>
                  </c:dLbl>
                  <c:dLbl>
                    <c:idx val="4"/>
                    <c:delete val="1"/>
                    <c:extLst>
                      <c:ext uri="{CE6537A1-D6FC-4f65-9D91-7224C49458BB}"/>
                      <c:ext xmlns:c16="http://schemas.microsoft.com/office/drawing/2014/chart" uri="{C3380CC4-5D6E-409C-BE32-E72D297353CC}">
                        <c16:uniqueId val="{00000011-FA93-42BE-A4FF-76E48987EA3B}"/>
                      </c:ext>
                    </c:extLst>
                  </c:dLbl>
                  <c:dLbl>
                    <c:idx val="5"/>
                    <c:delete val="1"/>
                    <c:extLst>
                      <c:ext uri="{CE6537A1-D6FC-4f65-9D91-7224C49458BB}"/>
                      <c:ext xmlns:c16="http://schemas.microsoft.com/office/drawing/2014/chart" uri="{C3380CC4-5D6E-409C-BE32-E72D297353CC}">
                        <c16:uniqueId val="{00000012-FA93-42BE-A4FF-76E48987EA3B}"/>
                      </c:ext>
                    </c:extLst>
                  </c:dLbl>
                  <c:dLbl>
                    <c:idx val="6"/>
                    <c:delete val="1"/>
                    <c:extLst>
                      <c:ext uri="{CE6537A1-D6FC-4f65-9D91-7224C49458BB}"/>
                      <c:ext xmlns:c16="http://schemas.microsoft.com/office/drawing/2014/chart" uri="{C3380CC4-5D6E-409C-BE32-E72D297353CC}">
                        <c16:uniqueId val="{00000013-FA93-42BE-A4FF-76E48987EA3B}"/>
                      </c:ext>
                    </c:extLst>
                  </c:dLbl>
                  <c:dLbl>
                    <c:idx val="7"/>
                    <c:delete val="1"/>
                    <c:extLst>
                      <c:ext uri="{CE6537A1-D6FC-4f65-9D91-7224C49458BB}"/>
                      <c:ext xmlns:c16="http://schemas.microsoft.com/office/drawing/2014/chart" uri="{C3380CC4-5D6E-409C-BE32-E72D297353CC}">
                        <c16:uniqueId val="{00000014-FA93-42BE-A4FF-76E48987EA3B}"/>
                      </c:ext>
                    </c:extLst>
                  </c:dLbl>
                  <c:dLbl>
                    <c:idx val="8"/>
                    <c:delete val="1"/>
                    <c:extLst>
                      <c:ext uri="{CE6537A1-D6FC-4f65-9D91-7224C49458BB}"/>
                      <c:ext xmlns:c16="http://schemas.microsoft.com/office/drawing/2014/chart" uri="{C3380CC4-5D6E-409C-BE32-E72D297353CC}">
                        <c16:uniqueId val="{00000015-FA93-42BE-A4FF-76E48987EA3B}"/>
                      </c:ext>
                    </c:extLst>
                  </c:dLbl>
                  <c:dLbl>
                    <c:idx val="9"/>
                    <c:delete val="1"/>
                    <c:extLst>
                      <c:ext uri="{CE6537A1-D6FC-4f65-9D91-7224C49458BB}"/>
                      <c:ext xmlns:c16="http://schemas.microsoft.com/office/drawing/2014/chart" uri="{C3380CC4-5D6E-409C-BE32-E72D297353CC}">
                        <c16:uniqueId val="{00000016-FA93-42BE-A4FF-76E48987EA3B}"/>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Joonised!$O$884:$AE$884</c15:sqref>
                        </c15:formulaRef>
                      </c:ext>
                    </c:extLst>
                    <c:strCache>
                      <c:ptCount val="17"/>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strCache>
                  </c:strRef>
                </c:cat>
                <c:val>
                  <c:numRef>
                    <c:extLst>
                      <c:ext uri="{02D57815-91ED-43cb-92C2-25804820EDAC}">
                        <c15:formulaRef>
                          <c15:sqref>Joonised!$O$886:$AE$886</c15:sqref>
                        </c15:formulaRef>
                      </c:ext>
                    </c:extLst>
                    <c:numCache>
                      <c:formatCode>_-* #\ ##0.0\ _€_-;\-* #\ ##0.0\ _€_-;_-* "-"??\ _€_-;_-@_-</c:formatCode>
                      <c:ptCount val="17"/>
                      <c:pt idx="0">
                        <c:v>0.84144889933730038</c:v>
                      </c:pt>
                      <c:pt idx="1">
                        <c:v>1.0258173578358094</c:v>
                      </c:pt>
                      <c:pt idx="2">
                        <c:v>0.85299927419615917</c:v>
                      </c:pt>
                      <c:pt idx="3">
                        <c:v>1.0310175058438564</c:v>
                      </c:pt>
                      <c:pt idx="4">
                        <c:v>1.0486764825737622</c:v>
                      </c:pt>
                      <c:pt idx="5">
                        <c:v>1.297098486049475E-2</c:v>
                      </c:pt>
                      <c:pt idx="6">
                        <c:v>-1.0294554816911932</c:v>
                      </c:pt>
                      <c:pt idx="7">
                        <c:v>-1.1623416172597689</c:v>
                      </c:pt>
                      <c:pt idx="8">
                        <c:v>-0.41395119330475821</c:v>
                      </c:pt>
                      <c:pt idx="9">
                        <c:v>-4.2973122813481055</c:v>
                      </c:pt>
                      <c:pt idx="10">
                        <c:v>-4.4281695380320691</c:v>
                      </c:pt>
                      <c:pt idx="11">
                        <c:v>-0.76350947732554741</c:v>
                      </c:pt>
                      <c:pt idx="12">
                        <c:v>-1.1660639671126423</c:v>
                      </c:pt>
                      <c:pt idx="13">
                        <c:v>-1.2861471960588469</c:v>
                      </c:pt>
                      <c:pt idx="14">
                        <c:v>-3.2206230168415004</c:v>
                      </c:pt>
                      <c:pt idx="15">
                        <c:v>-3.7135812221777309</c:v>
                      </c:pt>
                      <c:pt idx="16">
                        <c:v>-4.267148654415581</c:v>
                      </c:pt>
                    </c:numCache>
                  </c:numRef>
                </c:val>
                <c:smooth val="1"/>
                <c:extLst>
                  <c:ext xmlns:c16="http://schemas.microsoft.com/office/drawing/2014/chart" uri="{C3380CC4-5D6E-409C-BE32-E72D297353CC}">
                    <c16:uniqueId val="{00000017-FA93-42BE-A4FF-76E48987EA3B}"/>
                  </c:ext>
                </c:extLst>
              </c15:ser>
            </c15:filteredLineSeries>
          </c:ext>
        </c:extLst>
      </c:lineChart>
      <c:dateAx>
        <c:axId val="1298650719"/>
        <c:scaling>
          <c:orientation val="minMax"/>
        </c:scaling>
        <c:delete val="0"/>
        <c:axPos val="b"/>
        <c:numFmt formatCode="General" sourceLinked="1"/>
        <c:majorTickMark val="none"/>
        <c:minorTickMark val="none"/>
        <c:tickLblPos val="low"/>
        <c:spPr>
          <a:noFill/>
          <a:ln w="254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crossAx val="1298324159"/>
        <c:crosses val="autoZero"/>
        <c:auto val="0"/>
        <c:lblOffset val="100"/>
        <c:baseTimeUnit val="days"/>
      </c:dateAx>
      <c:valAx>
        <c:axId val="129832415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2540">
            <a:solidFill>
              <a:schemeClr val="tx1"/>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crossAx val="12986507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Tabelid!$K$203</c:f>
              <c:strCache>
                <c:ptCount val="1"/>
                <c:pt idx="0">
                  <c:v>Võlg (% SKPst)</c:v>
                </c:pt>
              </c:strCache>
            </c:strRef>
          </c:tx>
          <c:spPr>
            <a:ln w="28575" cap="rnd">
              <a:solidFill>
                <a:schemeClr val="accent1"/>
              </a:solidFill>
              <a:round/>
            </a:ln>
            <a:effectLst/>
          </c:spPr>
          <c:marker>
            <c:symbol val="none"/>
          </c:marker>
          <c:dLbls>
            <c:dLbl>
              <c:idx val="8"/>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D6E-489A-9BB7-C94F244082A5}"/>
                </c:ext>
              </c:extLst>
            </c:dLbl>
            <c:dLbl>
              <c:idx val="1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6E-489A-9BB7-C94F244082A5}"/>
                </c:ext>
              </c:extLst>
            </c:dLbl>
            <c:dLbl>
              <c:idx val="16"/>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6E-489A-9BB7-C94F244082A5}"/>
                </c:ext>
              </c:extLst>
            </c:dLbl>
            <c:numFmt formatCode="#,##0.0"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mn-lt"/>
                    <a:ea typeface="+mn-ea"/>
                    <a:cs typeface="+mn-cs"/>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[1]Tabelid!$O$203:$O$219</c:f>
              <c:strCache>
                <c:ptCount val="17"/>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pt idx="15">
                  <c:v>2026*</c:v>
                </c:pt>
                <c:pt idx="16">
                  <c:v>2027*</c:v>
                </c:pt>
              </c:strCache>
            </c:strRef>
          </c:cat>
          <c:val>
            <c:numRef>
              <c:f>Tabelid!$K$204:$K$220</c:f>
              <c:numCache>
                <c:formatCode>#\ ##0.0</c:formatCode>
                <c:ptCount val="17"/>
                <c:pt idx="0">
                  <c:v>6.1605065598541726</c:v>
                </c:pt>
                <c:pt idx="1">
                  <c:v>9.8372459060312796</c:v>
                </c:pt>
                <c:pt idx="2">
                  <c:v>10.228017852232588</c:v>
                </c:pt>
                <c:pt idx="3">
                  <c:v>10.623896409652737</c:v>
                </c:pt>
                <c:pt idx="4">
                  <c:v>10.069166751489243</c:v>
                </c:pt>
                <c:pt idx="5">
                  <c:v>9.9968272798752977</c:v>
                </c:pt>
                <c:pt idx="6">
                  <c:v>9.1219958378088073</c:v>
                </c:pt>
                <c:pt idx="7">
                  <c:v>8.2037004187843685</c:v>
                </c:pt>
                <c:pt idx="8">
                  <c:v>8.4912883259990704</c:v>
                </c:pt>
                <c:pt idx="9">
                  <c:v>18.572366022602989</c:v>
                </c:pt>
                <c:pt idx="10">
                  <c:v>17.755141326317815</c:v>
                </c:pt>
                <c:pt idx="11">
                  <c:v>18.487303949882257</c:v>
                </c:pt>
                <c:pt idx="12">
                  <c:v>19.401486516240848</c:v>
                </c:pt>
                <c:pt idx="13">
                  <c:v>21.813847818116326</c:v>
                </c:pt>
                <c:pt idx="14">
                  <c:v>24.978140583909351</c:v>
                </c:pt>
                <c:pt idx="15">
                  <c:v>27.638193134549631</c:v>
                </c:pt>
                <c:pt idx="16">
                  <c:v>30.441815834320956</c:v>
                </c:pt>
              </c:numCache>
            </c:numRef>
          </c:val>
          <c:smooth val="0"/>
          <c:extLst>
            <c:ext xmlns:c16="http://schemas.microsoft.com/office/drawing/2014/chart" uri="{C3380CC4-5D6E-409C-BE32-E72D297353CC}">
              <c16:uniqueId val="{00000003-1D6E-489A-9BB7-C94F244082A5}"/>
            </c:ext>
          </c:extLst>
        </c:ser>
        <c:dLbls>
          <c:showLegendKey val="0"/>
          <c:showVal val="0"/>
          <c:showCatName val="0"/>
          <c:showSerName val="0"/>
          <c:showPercent val="0"/>
          <c:showBubbleSize val="0"/>
        </c:dLbls>
        <c:smooth val="0"/>
        <c:axId val="1015754639"/>
        <c:axId val="1075822767"/>
      </c:lineChart>
      <c:catAx>
        <c:axId val="1015754639"/>
        <c:scaling>
          <c:orientation val="minMax"/>
        </c:scaling>
        <c:delete val="0"/>
        <c:axPos val="b"/>
        <c:numFmt formatCode="General" sourceLinked="1"/>
        <c:majorTickMark val="none"/>
        <c:minorTickMark val="none"/>
        <c:tickLblPos val="nextTo"/>
        <c:spPr>
          <a:noFill/>
          <a:ln w="2540"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crossAx val="1075822767"/>
        <c:crosses val="autoZero"/>
        <c:auto val="1"/>
        <c:lblAlgn val="ctr"/>
        <c:lblOffset val="100"/>
        <c:noMultiLvlLbl val="0"/>
      </c:catAx>
      <c:valAx>
        <c:axId val="107582276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2540">
            <a:solidFill>
              <a:schemeClr val="tx1"/>
            </a:solid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t-EE"/>
          </a:p>
        </c:txPr>
        <c:crossAx val="1015754639"/>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923076923076927E-2"/>
          <c:y val="4.3452568428946424E-2"/>
          <c:w val="0.90854820792629121"/>
          <c:h val="0.6202129733783277"/>
        </c:manualLayout>
      </c:layout>
      <c:lineChart>
        <c:grouping val="standard"/>
        <c:varyColors val="0"/>
        <c:ser>
          <c:idx val="0"/>
          <c:order val="0"/>
          <c:tx>
            <c:strRef>
              <c:f>Joonised!$L$51</c:f>
              <c:strCache>
                <c:ptCount val="1"/>
                <c:pt idx="0">
                  <c:v>Eratarbimise nominaalkasv</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Joonised!$K$52:$K$71</c:f>
              <c:strCache>
                <c:ptCount val="20"/>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pt idx="19">
                  <c:v> '27</c:v>
                </c:pt>
              </c:strCache>
            </c:strRef>
          </c:cat>
          <c:val>
            <c:numRef>
              <c:f>Joonised!$L$52:$L$71</c:f>
              <c:numCache>
                <c:formatCode>0.0</c:formatCode>
                <c:ptCount val="20"/>
                <c:pt idx="0">
                  <c:v>2.9480737693935444</c:v>
                </c:pt>
                <c:pt idx="1">
                  <c:v>-15.269238427774445</c:v>
                </c:pt>
                <c:pt idx="2">
                  <c:v>2.958904063870027</c:v>
                </c:pt>
                <c:pt idx="3">
                  <c:v>8.7974040308172583</c:v>
                </c:pt>
                <c:pt idx="4">
                  <c:v>8.6154090108772063</c:v>
                </c:pt>
                <c:pt idx="5">
                  <c:v>6.6668781722606818</c:v>
                </c:pt>
                <c:pt idx="6">
                  <c:v>4.2493256041663985</c:v>
                </c:pt>
                <c:pt idx="7">
                  <c:v>3.8575024152654791</c:v>
                </c:pt>
                <c:pt idx="8">
                  <c:v>5.4717844383657566</c:v>
                </c:pt>
                <c:pt idx="9">
                  <c:v>6.8732233174585655</c:v>
                </c:pt>
                <c:pt idx="10">
                  <c:v>8.5331836435079023</c:v>
                </c:pt>
                <c:pt idx="11">
                  <c:v>7.0299818581113449</c:v>
                </c:pt>
                <c:pt idx="12">
                  <c:v>-2.0868181784389317</c:v>
                </c:pt>
                <c:pt idx="13">
                  <c:v>10.989795298548266</c:v>
                </c:pt>
                <c:pt idx="14">
                  <c:v>19.878504289291143</c:v>
                </c:pt>
                <c:pt idx="15">
                  <c:v>8.6865826656623124</c:v>
                </c:pt>
                <c:pt idx="16">
                  <c:v>5.7589779648029582</c:v>
                </c:pt>
                <c:pt idx="17">
                  <c:v>7.0000000000000062</c:v>
                </c:pt>
                <c:pt idx="18">
                  <c:v>3.0000000000000027</c:v>
                </c:pt>
                <c:pt idx="19">
                  <c:v>4.0000000000000036</c:v>
                </c:pt>
              </c:numCache>
            </c:numRef>
          </c:val>
          <c:smooth val="0"/>
          <c:extLst>
            <c:ext xmlns:c16="http://schemas.microsoft.com/office/drawing/2014/chart" uri="{C3380CC4-5D6E-409C-BE32-E72D297353CC}">
              <c16:uniqueId val="{00000000-0941-4893-8A82-9DE37A334734}"/>
            </c:ext>
          </c:extLst>
        </c:ser>
        <c:ser>
          <c:idx val="1"/>
          <c:order val="1"/>
          <c:tx>
            <c:strRef>
              <c:f>Joonised!$M$51</c:f>
              <c:strCache>
                <c:ptCount val="1"/>
                <c:pt idx="0">
                  <c:v>Eratarbimise reaalkasv</c:v>
                </c:pt>
              </c:strCache>
            </c:strRef>
          </c:tx>
          <c:spPr>
            <a:ln w="28575" cap="rnd">
              <a:solidFill>
                <a:schemeClr val="accent2"/>
              </a:solidFill>
              <a:round/>
            </a:ln>
            <a:effectLst/>
          </c:spPr>
          <c:marker>
            <c:symbol val="none"/>
          </c:marker>
          <c:cat>
            <c:strRef>
              <c:f>Joonised!$K$52:$K$71</c:f>
              <c:strCache>
                <c:ptCount val="20"/>
                <c:pt idx="0">
                  <c:v> '08</c:v>
                </c:pt>
                <c:pt idx="1">
                  <c:v> '09</c:v>
                </c:pt>
                <c:pt idx="2">
                  <c:v> '10</c:v>
                </c:pt>
                <c:pt idx="3">
                  <c:v> '11</c:v>
                </c:pt>
                <c:pt idx="4">
                  <c:v> '12</c:v>
                </c:pt>
                <c:pt idx="5">
                  <c:v> '13</c:v>
                </c:pt>
                <c:pt idx="6">
                  <c:v> '14</c:v>
                </c:pt>
                <c:pt idx="7">
                  <c:v> '15</c:v>
                </c:pt>
                <c:pt idx="8">
                  <c:v> '16</c:v>
                </c:pt>
                <c:pt idx="9">
                  <c:v> '17</c:v>
                </c:pt>
                <c:pt idx="10">
                  <c:v> '18</c:v>
                </c:pt>
                <c:pt idx="11">
                  <c:v> '19</c:v>
                </c:pt>
                <c:pt idx="12">
                  <c:v> '20</c:v>
                </c:pt>
                <c:pt idx="13">
                  <c:v> '21</c:v>
                </c:pt>
                <c:pt idx="14">
                  <c:v> '22</c:v>
                </c:pt>
                <c:pt idx="15">
                  <c:v> '23</c:v>
                </c:pt>
                <c:pt idx="16">
                  <c:v> '24</c:v>
                </c:pt>
                <c:pt idx="17">
                  <c:v> '25</c:v>
                </c:pt>
                <c:pt idx="18">
                  <c:v> '26</c:v>
                </c:pt>
                <c:pt idx="19">
                  <c:v> '27</c:v>
                </c:pt>
              </c:strCache>
            </c:strRef>
          </c:cat>
          <c:val>
            <c:numRef>
              <c:f>Joonised!$M$52:$M$71</c:f>
              <c:numCache>
                <c:formatCode>0.0</c:formatCode>
                <c:ptCount val="20"/>
                <c:pt idx="0">
                  <c:v>-4.636663845908517</c:v>
                </c:pt>
                <c:pt idx="1">
                  <c:v>-14.047766120826743</c:v>
                </c:pt>
                <c:pt idx="2">
                  <c:v>-0.89073982917782235</c:v>
                </c:pt>
                <c:pt idx="3">
                  <c:v>3.4244102448624192</c:v>
                </c:pt>
                <c:pt idx="4">
                  <c:v>4.351852007250856</c:v>
                </c:pt>
                <c:pt idx="5">
                  <c:v>3.4203022674027084</c:v>
                </c:pt>
                <c:pt idx="6">
                  <c:v>3.4798781381144561</c:v>
                </c:pt>
                <c:pt idx="7">
                  <c:v>4.3126997584443272</c:v>
                </c:pt>
                <c:pt idx="8">
                  <c:v>4.3152791838642068</c:v>
                </c:pt>
                <c:pt idx="9">
                  <c:v>2.3469359188510674</c:v>
                </c:pt>
                <c:pt idx="10">
                  <c:v>4.7494438163317332</c:v>
                </c:pt>
                <c:pt idx="11">
                  <c:v>4.3704574139356689</c:v>
                </c:pt>
                <c:pt idx="12">
                  <c:v>-1.2476439877904366</c:v>
                </c:pt>
                <c:pt idx="13">
                  <c:v>6.5104298623427148</c:v>
                </c:pt>
                <c:pt idx="14">
                  <c:v>2.7141033468390807</c:v>
                </c:pt>
                <c:pt idx="15">
                  <c:v>-1.2531072728538817E-2</c:v>
                </c:pt>
                <c:pt idx="16">
                  <c:v>1.477600449400196</c:v>
                </c:pt>
                <c:pt idx="17">
                  <c:v>4.6966731898238745</c:v>
                </c:pt>
                <c:pt idx="18">
                  <c:v>1.2782694198623323</c:v>
                </c:pt>
                <c:pt idx="19">
                  <c:v>2.0608439646712329</c:v>
                </c:pt>
              </c:numCache>
            </c:numRef>
          </c:val>
          <c:smooth val="0"/>
          <c:extLst>
            <c:ext xmlns:c16="http://schemas.microsoft.com/office/drawing/2014/chart" uri="{C3380CC4-5D6E-409C-BE32-E72D297353CC}">
              <c16:uniqueId val="{00000001-0941-4893-8A82-9DE37A334734}"/>
            </c:ext>
          </c:extLst>
        </c:ser>
        <c:dLbls>
          <c:showLegendKey val="0"/>
          <c:showVal val="0"/>
          <c:showCatName val="0"/>
          <c:showSerName val="0"/>
          <c:showPercent val="0"/>
          <c:showBubbleSize val="0"/>
        </c:dLbls>
        <c:marker val="1"/>
        <c:smooth val="0"/>
        <c:axId val="700563560"/>
        <c:axId val="700561600"/>
      </c:lineChart>
      <c:catAx>
        <c:axId val="700563560"/>
        <c:scaling>
          <c:orientation val="minMax"/>
        </c:scaling>
        <c:delete val="0"/>
        <c:axPos val="b"/>
        <c:numFmt formatCode="General" sourceLinked="1"/>
        <c:majorTickMark val="none"/>
        <c:minorTickMark val="none"/>
        <c:tickLblPos val="low"/>
        <c:spPr>
          <a:noFill/>
          <a:ln w="2540" cap="flat" cmpd="sng" algn="ctr">
            <a:solidFill>
              <a:sysClr val="windowText" lastClr="000000"/>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00561600"/>
        <c:crosses val="autoZero"/>
        <c:auto val="1"/>
        <c:lblAlgn val="ctr"/>
        <c:lblOffset val="100"/>
        <c:noMultiLvlLbl val="0"/>
      </c:catAx>
      <c:valAx>
        <c:axId val="700561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2540">
            <a:solidFill>
              <a:sysClr val="windowText" lastClr="000000"/>
            </a:solid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700563560"/>
        <c:crosses val="autoZero"/>
        <c:crossBetween val="between"/>
        <c:majorUnit val="4"/>
        <c:minorUnit val="2"/>
      </c:valAx>
      <c:spPr>
        <a:noFill/>
        <a:ln>
          <a:noFill/>
        </a:ln>
        <a:effectLst/>
      </c:spPr>
    </c:plotArea>
    <c:legend>
      <c:legendPos val="b"/>
      <c:layout>
        <c:manualLayout>
          <c:xMode val="edge"/>
          <c:yMode val="edge"/>
          <c:x val="0.19250176252240314"/>
          <c:y val="0.79701872461473044"/>
          <c:w val="0.65814608125440621"/>
          <c:h val="0.1806349066701857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noFill/>
      <a:round/>
    </a:ln>
    <a:effectLst/>
  </c:spPr>
  <c:txPr>
    <a:bodyPr/>
    <a:lstStyle/>
    <a:p>
      <a:pPr>
        <a:defRPr/>
      </a:pPr>
      <a:endParaRPr lang="et-EE"/>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3291122114890264"/>
        </c:manualLayout>
      </c:layout>
      <c:barChart>
        <c:barDir val="col"/>
        <c:grouping val="stacked"/>
        <c:varyColors val="0"/>
        <c:ser>
          <c:idx val="0"/>
          <c:order val="0"/>
          <c:tx>
            <c:strRef>
              <c:f>Joonised!$R$93</c:f>
              <c:strCache>
                <c:ptCount val="1"/>
                <c:pt idx="0">
                  <c:v>Eesti ekspordi reaalkasv</c:v>
                </c:pt>
              </c:strCache>
            </c:strRef>
          </c:tx>
          <c:spPr>
            <a:solidFill>
              <a:schemeClr val="accent2"/>
            </a:solidFill>
            <a:ln w="31750">
              <a:noFill/>
              <a:prstDash val="solid"/>
            </a:ln>
          </c:spPr>
          <c:invertIfNegative val="0"/>
          <c:cat>
            <c:strRef>
              <c:f>Joonised!$Q$94:$Q$109</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Joonised!$R$94:$R$109</c:f>
              <c:numCache>
                <c:formatCode>0.0</c:formatCode>
                <c:ptCount val="16"/>
                <c:pt idx="0">
                  <c:v>4.8</c:v>
                </c:pt>
                <c:pt idx="1">
                  <c:v>2.8</c:v>
                </c:pt>
                <c:pt idx="2">
                  <c:v>2.6</c:v>
                </c:pt>
                <c:pt idx="3">
                  <c:v>-1.5</c:v>
                </c:pt>
                <c:pt idx="4">
                  <c:v>4.8</c:v>
                </c:pt>
                <c:pt idx="5">
                  <c:v>4.8</c:v>
                </c:pt>
                <c:pt idx="6">
                  <c:v>2.9</c:v>
                </c:pt>
                <c:pt idx="7">
                  <c:v>5</c:v>
                </c:pt>
                <c:pt idx="8">
                  <c:v>-5.5</c:v>
                </c:pt>
                <c:pt idx="9">
                  <c:v>22.1</c:v>
                </c:pt>
                <c:pt idx="10">
                  <c:v>3</c:v>
                </c:pt>
                <c:pt idx="11">
                  <c:v>-4.2</c:v>
                </c:pt>
                <c:pt idx="12">
                  <c:v>2.9</c:v>
                </c:pt>
                <c:pt idx="13">
                  <c:v>3.4</c:v>
                </c:pt>
                <c:pt idx="14">
                  <c:v>3.2</c:v>
                </c:pt>
                <c:pt idx="15">
                  <c:v>3</c:v>
                </c:pt>
              </c:numCache>
            </c:numRef>
          </c:val>
          <c:extLst>
            <c:ext xmlns:c16="http://schemas.microsoft.com/office/drawing/2014/chart" uri="{C3380CC4-5D6E-409C-BE32-E72D297353CC}">
              <c16:uniqueId val="{00000000-E436-4A77-BC21-D9D5DDAD34E5}"/>
            </c:ext>
          </c:extLst>
        </c:ser>
        <c:dLbls>
          <c:showLegendKey val="0"/>
          <c:showVal val="0"/>
          <c:showCatName val="0"/>
          <c:showSerName val="0"/>
          <c:showPercent val="0"/>
          <c:showBubbleSize val="0"/>
        </c:dLbls>
        <c:gapWidth val="0"/>
        <c:overlap val="100"/>
        <c:axId val="306614784"/>
        <c:axId val="306615960"/>
      </c:barChart>
      <c:lineChart>
        <c:grouping val="standard"/>
        <c:varyColors val="0"/>
        <c:ser>
          <c:idx val="1"/>
          <c:order val="1"/>
          <c:tx>
            <c:strRef>
              <c:f>Joonised!$S$93</c:f>
              <c:strCache>
                <c:ptCount val="1"/>
                <c:pt idx="0">
                  <c:v>Kaubanduspartnerite impordikasv</c:v>
                </c:pt>
              </c:strCache>
            </c:strRef>
          </c:tx>
          <c:spPr>
            <a:ln>
              <a:solidFill>
                <a:schemeClr val="accent1"/>
              </a:solidFill>
            </a:ln>
          </c:spPr>
          <c:marker>
            <c:symbol val="square"/>
            <c:size val="4"/>
            <c:spPr>
              <a:solidFill>
                <a:schemeClr val="accent1"/>
              </a:solidFill>
              <a:ln>
                <a:solidFill>
                  <a:schemeClr val="accent1"/>
                </a:solidFill>
              </a:ln>
            </c:spPr>
          </c:marker>
          <c:cat>
            <c:strRef>
              <c:f>Joonised!$Q$94:$Q$109</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Joonised!$S$94:$S$109</c:f>
              <c:numCache>
                <c:formatCode>0.0</c:formatCode>
                <c:ptCount val="16"/>
                <c:pt idx="0">
                  <c:v>2.5699393623193774</c:v>
                </c:pt>
                <c:pt idx="1">
                  <c:v>1.4991634000000003</c:v>
                </c:pt>
                <c:pt idx="2">
                  <c:v>1.5431724</c:v>
                </c:pt>
                <c:pt idx="3">
                  <c:v>1.2829199999999992</c:v>
                </c:pt>
                <c:pt idx="4">
                  <c:v>3.3640714999999983</c:v>
                </c:pt>
                <c:pt idx="5">
                  <c:v>6.4571019000000023</c:v>
                </c:pt>
                <c:pt idx="6">
                  <c:v>4.2414538000000004</c:v>
                </c:pt>
                <c:pt idx="7">
                  <c:v>2.5306660999999999</c:v>
                </c:pt>
                <c:pt idx="8">
                  <c:v>-6.5744908000000022</c:v>
                </c:pt>
                <c:pt idx="9">
                  <c:v>10.528787499999996</c:v>
                </c:pt>
                <c:pt idx="10">
                  <c:v>6.9322683999999999</c:v>
                </c:pt>
                <c:pt idx="11">
                  <c:v>-0.6232008</c:v>
                </c:pt>
                <c:pt idx="12">
                  <c:v>2.1711031999999997</c:v>
                </c:pt>
                <c:pt idx="13">
                  <c:v>3.1821002000000003</c:v>
                </c:pt>
                <c:pt idx="14">
                  <c:v>2.8794937000000003</c:v>
                </c:pt>
                <c:pt idx="15">
                  <c:v>2.8815676999999997</c:v>
                </c:pt>
              </c:numCache>
            </c:numRef>
          </c:val>
          <c:smooth val="0"/>
          <c:extLst>
            <c:ext xmlns:c16="http://schemas.microsoft.com/office/drawing/2014/chart" uri="{C3380CC4-5D6E-409C-BE32-E72D297353CC}">
              <c16:uniqueId val="{00000001-E436-4A77-BC21-D9D5DDAD34E5}"/>
            </c:ext>
          </c:extLst>
        </c:ser>
        <c:dLbls>
          <c:showLegendKey val="0"/>
          <c:showVal val="0"/>
          <c:showCatName val="0"/>
          <c:showSerName val="0"/>
          <c:showPercent val="0"/>
          <c:showBubbleSize val="0"/>
        </c:dLbls>
        <c:marker val="1"/>
        <c:smooth val="0"/>
        <c:axId val="306614784"/>
        <c:axId val="306615960"/>
      </c:lineChart>
      <c:catAx>
        <c:axId val="306614784"/>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306615960"/>
        <c:crosses val="autoZero"/>
        <c:auto val="1"/>
        <c:lblAlgn val="ctr"/>
        <c:lblOffset val="100"/>
        <c:noMultiLvlLbl val="0"/>
      </c:catAx>
      <c:valAx>
        <c:axId val="306615960"/>
        <c:scaling>
          <c:orientation val="minMax"/>
          <c:max val="24"/>
          <c:min val="-8"/>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306614784"/>
        <c:crosses val="autoZero"/>
        <c:crossBetween val="between"/>
        <c:majorUnit val="4"/>
        <c:minorUnit val="2"/>
      </c:valAx>
      <c:spPr>
        <a:ln>
          <a:noFill/>
        </a:ln>
      </c:spPr>
    </c:plotArea>
    <c:legend>
      <c:legendPos val="b"/>
      <c:layout>
        <c:manualLayout>
          <c:xMode val="edge"/>
          <c:yMode val="edge"/>
          <c:x val="2.1013336170816653E-2"/>
          <c:y val="0.82331956030248699"/>
          <c:w val="0.91826128185589706"/>
          <c:h val="0.17668043969751321"/>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53945347953001199"/>
        </c:manualLayout>
      </c:layout>
      <c:barChart>
        <c:barDir val="col"/>
        <c:grouping val="stacked"/>
        <c:varyColors val="0"/>
        <c:ser>
          <c:idx val="1"/>
          <c:order val="1"/>
          <c:tx>
            <c:strRef>
              <c:f>Joonised!$S$111</c:f>
              <c:strCache>
                <c:ptCount val="1"/>
                <c:pt idx="0">
                  <c:v>Kaubad</c:v>
                </c:pt>
              </c:strCache>
            </c:strRef>
          </c:tx>
          <c:spPr>
            <a:solidFill>
              <a:schemeClr val="accent1"/>
            </a:solidFill>
            <a:ln w="31750">
              <a:noFill/>
              <a:prstDash val="solid"/>
            </a:ln>
          </c:spPr>
          <c:invertIfNegative val="0"/>
          <c:cat>
            <c:strRef>
              <c:f>Joonised!$Q$112:$Q$127</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Joonised!$S$112:$S$127</c:f>
              <c:numCache>
                <c:formatCode>0.0</c:formatCode>
                <c:ptCount val="16"/>
                <c:pt idx="0">
                  <c:v>-7.1374836190123094</c:v>
                </c:pt>
                <c:pt idx="1">
                  <c:v>-4.8853076187727122</c:v>
                </c:pt>
                <c:pt idx="2">
                  <c:v>-4.9508534332690592</c:v>
                </c:pt>
                <c:pt idx="3">
                  <c:v>-4.2722236298872778</c:v>
                </c:pt>
                <c:pt idx="4">
                  <c:v>-3.7206777761727796</c:v>
                </c:pt>
                <c:pt idx="5">
                  <c:v>-3.8109212990262118</c:v>
                </c:pt>
                <c:pt idx="6">
                  <c:v>-4.7323404878876483</c:v>
                </c:pt>
                <c:pt idx="7">
                  <c:v>-3.3416532503502623</c:v>
                </c:pt>
                <c:pt idx="8">
                  <c:v>-0.88731112324776595</c:v>
                </c:pt>
                <c:pt idx="9">
                  <c:v>-4.1199049766416751</c:v>
                </c:pt>
                <c:pt idx="10">
                  <c:v>-7.3</c:v>
                </c:pt>
                <c:pt idx="11">
                  <c:v>-5.5919547944585597</c:v>
                </c:pt>
                <c:pt idx="12">
                  <c:v>-4.3330198321387625</c:v>
                </c:pt>
                <c:pt idx="13">
                  <c:v>-4.8881460288014669</c:v>
                </c:pt>
                <c:pt idx="14">
                  <c:v>-4.734285392888177</c:v>
                </c:pt>
                <c:pt idx="15">
                  <c:v>-4.1793267592365391</c:v>
                </c:pt>
              </c:numCache>
            </c:numRef>
          </c:val>
          <c:extLst>
            <c:ext xmlns:c16="http://schemas.microsoft.com/office/drawing/2014/chart" uri="{C3380CC4-5D6E-409C-BE32-E72D297353CC}">
              <c16:uniqueId val="{00000000-7DCC-4D05-8553-546E2244CCE9}"/>
            </c:ext>
          </c:extLst>
        </c:ser>
        <c:ser>
          <c:idx val="2"/>
          <c:order val="2"/>
          <c:tx>
            <c:strRef>
              <c:f>Joonised!$T$111</c:f>
              <c:strCache>
                <c:ptCount val="1"/>
                <c:pt idx="0">
                  <c:v>Teenused</c:v>
                </c:pt>
              </c:strCache>
            </c:strRef>
          </c:tx>
          <c:spPr>
            <a:solidFill>
              <a:schemeClr val="accent3">
                <a:lumMod val="60000"/>
                <a:lumOff val="40000"/>
              </a:schemeClr>
            </a:solidFill>
          </c:spPr>
          <c:invertIfNegative val="0"/>
          <c:cat>
            <c:strRef>
              <c:f>Joonised!$Q$112:$Q$127</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Joonised!$T$112:$T$127</c:f>
              <c:numCache>
                <c:formatCode>0.0</c:formatCode>
                <c:ptCount val="16"/>
                <c:pt idx="0">
                  <c:v>8.6858620277301561</c:v>
                </c:pt>
                <c:pt idx="1">
                  <c:v>7.6969080571689918</c:v>
                </c:pt>
                <c:pt idx="2">
                  <c:v>8.5054784667609677</c:v>
                </c:pt>
                <c:pt idx="3">
                  <c:v>8.2795819842958824</c:v>
                </c:pt>
                <c:pt idx="4">
                  <c:v>7.2968145161878679</c:v>
                </c:pt>
                <c:pt idx="5">
                  <c:v>7.7685454637210523</c:v>
                </c:pt>
                <c:pt idx="6">
                  <c:v>7.4594519554839147</c:v>
                </c:pt>
                <c:pt idx="7">
                  <c:v>7.3546625751403756</c:v>
                </c:pt>
                <c:pt idx="8">
                  <c:v>0.96704897141817325</c:v>
                </c:pt>
                <c:pt idx="9">
                  <c:v>3.7564120095786593</c:v>
                </c:pt>
                <c:pt idx="10">
                  <c:v>6.7</c:v>
                </c:pt>
                <c:pt idx="11">
                  <c:v>6.7884576486923178</c:v>
                </c:pt>
                <c:pt idx="12">
                  <c:v>6.9515553704376281</c:v>
                </c:pt>
                <c:pt idx="13">
                  <c:v>6.972049966277579</c:v>
                </c:pt>
                <c:pt idx="14">
                  <c:v>7.1008404919112191</c:v>
                </c:pt>
                <c:pt idx="15">
                  <c:v>7.2401196876313252</c:v>
                </c:pt>
              </c:numCache>
            </c:numRef>
          </c:val>
          <c:extLst>
            <c:ext xmlns:c16="http://schemas.microsoft.com/office/drawing/2014/chart" uri="{C3380CC4-5D6E-409C-BE32-E72D297353CC}">
              <c16:uniqueId val="{00000001-7DCC-4D05-8553-546E2244CCE9}"/>
            </c:ext>
          </c:extLst>
        </c:ser>
        <c:ser>
          <c:idx val="3"/>
          <c:order val="3"/>
          <c:tx>
            <c:strRef>
              <c:f>Joonised!$U$111</c:f>
              <c:strCache>
                <c:ptCount val="1"/>
                <c:pt idx="0">
                  <c:v>Esmane tulu</c:v>
                </c:pt>
              </c:strCache>
            </c:strRef>
          </c:tx>
          <c:spPr>
            <a:solidFill>
              <a:schemeClr val="accent2"/>
            </a:solidFill>
          </c:spPr>
          <c:invertIfNegative val="0"/>
          <c:cat>
            <c:strRef>
              <c:f>Joonised!$Q$112:$Q$127</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Joonised!$U$112:$U$127</c:f>
              <c:numCache>
                <c:formatCode>0.0</c:formatCode>
                <c:ptCount val="16"/>
                <c:pt idx="0">
                  <c:v>-4.0195390523755758</c:v>
                </c:pt>
                <c:pt idx="1">
                  <c:v>-2.3066427042037452</c:v>
                </c:pt>
                <c:pt idx="2">
                  <c:v>-2.8442981967613017</c:v>
                </c:pt>
                <c:pt idx="3">
                  <c:v>-2.199301793828405</c:v>
                </c:pt>
                <c:pt idx="4">
                  <c:v>-2.2055047062926145</c:v>
                </c:pt>
                <c:pt idx="5">
                  <c:v>-2.3879035020405115</c:v>
                </c:pt>
                <c:pt idx="6">
                  <c:v>-2.1186015841309263</c:v>
                </c:pt>
                <c:pt idx="7">
                  <c:v>-1.880445313653667</c:v>
                </c:pt>
                <c:pt idx="8">
                  <c:v>-1.1174221736755876</c:v>
                </c:pt>
                <c:pt idx="9">
                  <c:v>-1.7328724212829427</c:v>
                </c:pt>
                <c:pt idx="10">
                  <c:v>-2</c:v>
                </c:pt>
                <c:pt idx="11">
                  <c:v>-1.8214367571071564</c:v>
                </c:pt>
                <c:pt idx="12">
                  <c:v>-1.9716117436832161</c:v>
                </c:pt>
                <c:pt idx="13">
                  <c:v>-2.0266973404897666</c:v>
                </c:pt>
                <c:pt idx="14">
                  <c:v>-2.1270259930393229</c:v>
                </c:pt>
                <c:pt idx="15">
                  <c:v>-2.2333150497135064</c:v>
                </c:pt>
              </c:numCache>
            </c:numRef>
          </c:val>
          <c:extLst>
            <c:ext xmlns:c16="http://schemas.microsoft.com/office/drawing/2014/chart" uri="{C3380CC4-5D6E-409C-BE32-E72D297353CC}">
              <c16:uniqueId val="{00000002-7DCC-4D05-8553-546E2244CCE9}"/>
            </c:ext>
          </c:extLst>
        </c:ser>
        <c:ser>
          <c:idx val="4"/>
          <c:order val="4"/>
          <c:tx>
            <c:strRef>
              <c:f>Joonised!$V$111</c:f>
              <c:strCache>
                <c:ptCount val="1"/>
                <c:pt idx="0">
                  <c:v>Teisene tulu</c:v>
                </c:pt>
              </c:strCache>
            </c:strRef>
          </c:tx>
          <c:spPr>
            <a:solidFill>
              <a:schemeClr val="accent4"/>
            </a:solidFill>
          </c:spPr>
          <c:invertIfNegative val="0"/>
          <c:cat>
            <c:strRef>
              <c:f>Joonised!$Q$112:$Q$127</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Joonised!$V$112:$V$127</c:f>
              <c:numCache>
                <c:formatCode>0.0</c:formatCode>
                <c:ptCount val="16"/>
                <c:pt idx="0">
                  <c:v>0.52188771716237192</c:v>
                </c:pt>
                <c:pt idx="1">
                  <c:v>1.4789557068400535E-2</c:v>
                </c:pt>
                <c:pt idx="2">
                  <c:v>9.4710244897414558E-2</c:v>
                </c:pt>
                <c:pt idx="3">
                  <c:v>3.6800294216415411E-2</c:v>
                </c:pt>
                <c:pt idx="4">
                  <c:v>-0.15001262112265254</c:v>
                </c:pt>
                <c:pt idx="5">
                  <c:v>0.7205206459553517</c:v>
                </c:pt>
                <c:pt idx="6">
                  <c:v>0.26723532905036973</c:v>
                </c:pt>
                <c:pt idx="7">
                  <c:v>0.23483055822681309</c:v>
                </c:pt>
                <c:pt idx="8">
                  <c:v>4.4420171126888675E-2</c:v>
                </c:pt>
                <c:pt idx="9">
                  <c:v>0.2922572499833041</c:v>
                </c:pt>
                <c:pt idx="10">
                  <c:v>-0.28274196133925189</c:v>
                </c:pt>
                <c:pt idx="11">
                  <c:v>-1.4671950244272121E-3</c:v>
                </c:pt>
                <c:pt idx="12">
                  <c:v>-0.18574990257540597</c:v>
                </c:pt>
                <c:pt idx="13">
                  <c:v>-5.1879677603749563E-2</c:v>
                </c:pt>
                <c:pt idx="14">
                  <c:v>-5.2835782081214956E-2</c:v>
                </c:pt>
                <c:pt idx="15">
                  <c:v>-0.15535478728315347</c:v>
                </c:pt>
              </c:numCache>
            </c:numRef>
          </c:val>
          <c:extLst>
            <c:ext xmlns:c16="http://schemas.microsoft.com/office/drawing/2014/chart" uri="{C3380CC4-5D6E-409C-BE32-E72D297353CC}">
              <c16:uniqueId val="{00000003-7DCC-4D05-8553-546E2244CCE9}"/>
            </c:ext>
          </c:extLst>
        </c:ser>
        <c:dLbls>
          <c:showLegendKey val="0"/>
          <c:showVal val="0"/>
          <c:showCatName val="0"/>
          <c:showSerName val="0"/>
          <c:showPercent val="0"/>
          <c:showBubbleSize val="0"/>
        </c:dLbls>
        <c:gapWidth val="0"/>
        <c:overlap val="100"/>
        <c:axId val="314980104"/>
        <c:axId val="314978536"/>
      </c:barChart>
      <c:lineChart>
        <c:grouping val="standard"/>
        <c:varyColors val="0"/>
        <c:ser>
          <c:idx val="0"/>
          <c:order val="0"/>
          <c:tx>
            <c:strRef>
              <c:f>Joonised!$R$111</c:f>
              <c:strCache>
                <c:ptCount val="1"/>
                <c:pt idx="0">
                  <c:v>Jooksevkonto bilanss</c:v>
                </c:pt>
              </c:strCache>
            </c:strRef>
          </c:tx>
          <c:spPr>
            <a:ln w="31750">
              <a:solidFill>
                <a:schemeClr val="tx1"/>
              </a:solidFill>
              <a:prstDash val="solid"/>
            </a:ln>
          </c:spPr>
          <c:marker>
            <c:symbol val="circle"/>
            <c:size val="5"/>
            <c:spPr>
              <a:solidFill>
                <a:schemeClr val="tx1"/>
              </a:solidFill>
              <a:ln>
                <a:solidFill>
                  <a:schemeClr val="tx1"/>
                </a:solidFill>
              </a:ln>
            </c:spPr>
          </c:marker>
          <c:cat>
            <c:strRef>
              <c:f>Joonised!$Q$112:$Q$127</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Joonised!$R$112:$R$127</c:f>
              <c:numCache>
                <c:formatCode>0.0</c:formatCode>
                <c:ptCount val="16"/>
                <c:pt idx="0">
                  <c:v>-1.9498304988427504</c:v>
                </c:pt>
                <c:pt idx="1">
                  <c:v>0.51974729126093477</c:v>
                </c:pt>
                <c:pt idx="2">
                  <c:v>0.80603403157431197</c:v>
                </c:pt>
                <c:pt idx="3">
                  <c:v>1.8448568547966144</c:v>
                </c:pt>
                <c:pt idx="4">
                  <c:v>1.2206194125998198</c:v>
                </c:pt>
                <c:pt idx="5">
                  <c:v>2.2898221575649131</c:v>
                </c:pt>
                <c:pt idx="6">
                  <c:v>0.87574521251570936</c:v>
                </c:pt>
                <c:pt idx="7">
                  <c:v>2.3673945693632596</c:v>
                </c:pt>
                <c:pt idx="8">
                  <c:v>-0.99326415437829152</c:v>
                </c:pt>
                <c:pt idx="9">
                  <c:v>-1.8041081383626547</c:v>
                </c:pt>
                <c:pt idx="10">
                  <c:v>-2.9</c:v>
                </c:pt>
                <c:pt idx="11">
                  <c:v>-0.62640109789782639</c:v>
                </c:pt>
                <c:pt idx="12">
                  <c:v>0.46117389204024417</c:v>
                </c:pt>
                <c:pt idx="13">
                  <c:v>5.3269193825959691E-3</c:v>
                </c:pt>
                <c:pt idx="14">
                  <c:v>0.18669332390250329</c:v>
                </c:pt>
                <c:pt idx="15">
                  <c:v>0.67212309139812543</c:v>
                </c:pt>
              </c:numCache>
            </c:numRef>
          </c:val>
          <c:smooth val="0"/>
          <c:extLst>
            <c:ext xmlns:c16="http://schemas.microsoft.com/office/drawing/2014/chart" uri="{C3380CC4-5D6E-409C-BE32-E72D297353CC}">
              <c16:uniqueId val="{00000004-7DCC-4D05-8553-546E2244CCE9}"/>
            </c:ext>
          </c:extLst>
        </c:ser>
        <c:dLbls>
          <c:showLegendKey val="0"/>
          <c:showVal val="0"/>
          <c:showCatName val="0"/>
          <c:showSerName val="0"/>
          <c:showPercent val="0"/>
          <c:showBubbleSize val="0"/>
        </c:dLbls>
        <c:marker val="1"/>
        <c:smooth val="0"/>
        <c:axId val="314980104"/>
        <c:axId val="314978536"/>
      </c:lineChart>
      <c:catAx>
        <c:axId val="314980104"/>
        <c:scaling>
          <c:orientation val="minMax"/>
        </c:scaling>
        <c:delete val="0"/>
        <c:axPos val="b"/>
        <c:numFmt formatCode="General" sourceLinked="1"/>
        <c:majorTickMark val="out"/>
        <c:minorTickMark val="none"/>
        <c:tickLblPos val="low"/>
        <c:txPr>
          <a:bodyPr rot="0" vert="horz"/>
          <a:lstStyle/>
          <a:p>
            <a:pPr>
              <a:defRPr/>
            </a:pPr>
            <a:endParaRPr lang="et-EE"/>
          </a:p>
        </c:txPr>
        <c:crossAx val="314978536"/>
        <c:crosses val="autoZero"/>
        <c:auto val="1"/>
        <c:lblAlgn val="ctr"/>
        <c:lblOffset val="100"/>
        <c:noMultiLvlLbl val="0"/>
      </c:catAx>
      <c:valAx>
        <c:axId val="314978536"/>
        <c:scaling>
          <c:orientation val="minMax"/>
          <c:max val="12"/>
          <c:min val="-12"/>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314980104"/>
        <c:crosses val="autoZero"/>
        <c:crossBetween val="between"/>
        <c:majorUnit val="4"/>
        <c:minorUnit val="2"/>
      </c:valAx>
      <c:spPr>
        <a:ln>
          <a:noFill/>
        </a:ln>
      </c:spPr>
    </c:plotArea>
    <c:legend>
      <c:legendPos val="b"/>
      <c:layout>
        <c:manualLayout>
          <c:xMode val="edge"/>
          <c:yMode val="edge"/>
          <c:x val="1.6508831666312167E-2"/>
          <c:y val="0.72904506095616561"/>
          <c:w val="0.96096864581116548"/>
          <c:h val="0.27095444845095296"/>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56941932258467765"/>
        </c:manualLayout>
      </c:layout>
      <c:barChart>
        <c:barDir val="col"/>
        <c:grouping val="stacked"/>
        <c:varyColors val="0"/>
        <c:ser>
          <c:idx val="1"/>
          <c:order val="1"/>
          <c:tx>
            <c:strRef>
              <c:f>Joonised!$M$140</c:f>
              <c:strCache>
                <c:ptCount val="1"/>
                <c:pt idx="0">
                  <c:v>Töötuse määr (p.sk)</c:v>
                </c:pt>
              </c:strCache>
            </c:strRef>
          </c:tx>
          <c:spPr>
            <a:solidFill>
              <a:schemeClr val="accent3">
                <a:lumMod val="60000"/>
                <a:lumOff val="40000"/>
              </a:schemeClr>
            </a:solidFill>
          </c:spPr>
          <c:invertIfNegative val="0"/>
          <c:cat>
            <c:strRef>
              <c:f>Joonised!$K$152:$K$162</c:f>
              <c:strCache>
                <c:ptCount val="11"/>
                <c:pt idx="0">
                  <c:v>"17</c:v>
                </c:pt>
                <c:pt idx="1">
                  <c:v>"18</c:v>
                </c:pt>
                <c:pt idx="2">
                  <c:v>"19</c:v>
                </c:pt>
                <c:pt idx="3">
                  <c:v>"20</c:v>
                </c:pt>
                <c:pt idx="4">
                  <c:v>"21</c:v>
                </c:pt>
                <c:pt idx="5">
                  <c:v>"22</c:v>
                </c:pt>
                <c:pt idx="6">
                  <c:v>"23</c:v>
                </c:pt>
                <c:pt idx="7">
                  <c:v>"24</c:v>
                </c:pt>
                <c:pt idx="8">
                  <c:v>"25</c:v>
                </c:pt>
                <c:pt idx="9">
                  <c:v>"26</c:v>
                </c:pt>
                <c:pt idx="10">
                  <c:v>"27</c:v>
                </c:pt>
              </c:strCache>
              <c:extLst/>
            </c:strRef>
          </c:cat>
          <c:val>
            <c:numRef>
              <c:f>Joonised!$M$152:$M$162</c:f>
              <c:numCache>
                <c:formatCode>0.0</c:formatCode>
                <c:ptCount val="11"/>
                <c:pt idx="0">
                  <c:v>5.7628331246646365</c:v>
                </c:pt>
                <c:pt idx="1">
                  <c:v>5.3783435846087828</c:v>
                </c:pt>
                <c:pt idx="2">
                  <c:v>4.4739851343624935</c:v>
                </c:pt>
                <c:pt idx="3">
                  <c:v>6.8926231842779826</c:v>
                </c:pt>
                <c:pt idx="4">
                  <c:v>6.2139561707035753</c:v>
                </c:pt>
                <c:pt idx="5">
                  <c:v>5.6027874564459932</c:v>
                </c:pt>
                <c:pt idx="6">
                  <c:v>6.1458753050265749</c:v>
                </c:pt>
                <c:pt idx="7">
                  <c:v>6.6806884292418438</c:v>
                </c:pt>
                <c:pt idx="8">
                  <c:v>6.4388464513009644</c:v>
                </c:pt>
                <c:pt idx="9">
                  <c:v>6.1799422075728456</c:v>
                </c:pt>
                <c:pt idx="10">
                  <c:v>6.0956339902144006</c:v>
                </c:pt>
              </c:numCache>
              <c:extLst/>
            </c:numRef>
          </c:val>
          <c:extLst>
            <c:ext xmlns:c16="http://schemas.microsoft.com/office/drawing/2014/chart" uri="{C3380CC4-5D6E-409C-BE32-E72D297353CC}">
              <c16:uniqueId val="{00000000-3FDD-421F-A183-44E3ED8FFA7F}"/>
            </c:ext>
          </c:extLst>
        </c:ser>
        <c:dLbls>
          <c:showLegendKey val="0"/>
          <c:showVal val="0"/>
          <c:showCatName val="0"/>
          <c:showSerName val="0"/>
          <c:showPercent val="0"/>
          <c:showBubbleSize val="0"/>
        </c:dLbls>
        <c:gapWidth val="0"/>
        <c:overlap val="100"/>
        <c:axId val="206106056"/>
        <c:axId val="314979320"/>
        <c:extLst>
          <c:ext xmlns:c15="http://schemas.microsoft.com/office/drawing/2012/chart" uri="{02D57815-91ED-43cb-92C2-25804820EDAC}">
            <c15:filteredBarSeries>
              <c15:ser>
                <c:idx val="2"/>
                <c:order val="2"/>
                <c:tx>
                  <c:strRef>
                    <c:extLst>
                      <c:ext uri="{02D57815-91ED-43cb-92C2-25804820EDAC}">
                        <c15:formulaRef>
                          <c15:sqref>Joonised!$N$140</c15:sqref>
                        </c15:formulaRef>
                      </c:ext>
                    </c:extLst>
                    <c:strCache>
                      <c:ptCount val="1"/>
                      <c:pt idx="0">
                        <c:v>Tööjõus osalemise määr (p.sk)</c:v>
                      </c:pt>
                    </c:strCache>
                  </c:strRef>
                </c:tx>
                <c:invertIfNegative val="0"/>
                <c:cat>
                  <c:strRef>
                    <c:extLst>
                      <c:ext uri="{02D57815-91ED-43cb-92C2-25804820EDAC}">
                        <c15:formulaRef>
                          <c15:sqref>Joonised!$K$152:$K$162</c15:sqref>
                        </c15:formulaRef>
                      </c:ext>
                    </c:extLst>
                    <c:strCache>
                      <c:ptCount val="11"/>
                      <c:pt idx="0">
                        <c:v>"17</c:v>
                      </c:pt>
                      <c:pt idx="1">
                        <c:v>"18</c:v>
                      </c:pt>
                      <c:pt idx="2">
                        <c:v>"19</c:v>
                      </c:pt>
                      <c:pt idx="3">
                        <c:v>"20</c:v>
                      </c:pt>
                      <c:pt idx="4">
                        <c:v>"21</c:v>
                      </c:pt>
                      <c:pt idx="5">
                        <c:v>"22</c:v>
                      </c:pt>
                      <c:pt idx="6">
                        <c:v>"23</c:v>
                      </c:pt>
                      <c:pt idx="7">
                        <c:v>"24</c:v>
                      </c:pt>
                      <c:pt idx="8">
                        <c:v>"25</c:v>
                      </c:pt>
                      <c:pt idx="9">
                        <c:v>"26</c:v>
                      </c:pt>
                      <c:pt idx="10">
                        <c:v>"27</c:v>
                      </c:pt>
                    </c:strCache>
                  </c:strRef>
                </c:cat>
                <c:val>
                  <c:numRef>
                    <c:extLst>
                      <c:ext uri="{02D57815-91ED-43cb-92C2-25804820EDAC}">
                        <c15:formulaRef>
                          <c15:sqref>Joonised!$N$152:$N$162</c15:sqref>
                        </c15:formulaRef>
                      </c:ext>
                    </c:extLst>
                    <c:numCache>
                      <c:formatCode>0.0</c:formatCode>
                      <c:ptCount val="11"/>
                      <c:pt idx="0">
                        <c:v>71.599999999999994</c:v>
                      </c:pt>
                      <c:pt idx="1">
                        <c:v>71.900000000000006</c:v>
                      </c:pt>
                      <c:pt idx="2">
                        <c:v>71.599999999999994</c:v>
                      </c:pt>
                      <c:pt idx="3">
                        <c:v>71.599999999999994</c:v>
                      </c:pt>
                      <c:pt idx="4">
                        <c:v>71.8</c:v>
                      </c:pt>
                      <c:pt idx="5">
                        <c:v>72.099999999999994</c:v>
                      </c:pt>
                      <c:pt idx="6">
                        <c:v>71.7</c:v>
                      </c:pt>
                      <c:pt idx="7">
                        <c:v>71.599999999999994</c:v>
                      </c:pt>
                      <c:pt idx="8">
                        <c:v>71.599999999999994</c:v>
                      </c:pt>
                    </c:numCache>
                  </c:numRef>
                </c:val>
                <c:extLst>
                  <c:ext xmlns:c16="http://schemas.microsoft.com/office/drawing/2014/chart" uri="{C3380CC4-5D6E-409C-BE32-E72D297353CC}">
                    <c16:uniqueId val="{00000003-3FDD-421F-A183-44E3ED8FFA7F}"/>
                  </c:ext>
                </c:extLst>
              </c15:ser>
            </c15:filteredBarSeries>
          </c:ext>
        </c:extLst>
      </c:barChart>
      <c:lineChart>
        <c:grouping val="standard"/>
        <c:varyColors val="0"/>
        <c:ser>
          <c:idx val="0"/>
          <c:order val="0"/>
          <c:tx>
            <c:strRef>
              <c:f>Joonised!$L$140</c:f>
              <c:strCache>
                <c:ptCount val="1"/>
                <c:pt idx="0">
                  <c:v>Hõive muutus</c:v>
                </c:pt>
              </c:strCache>
            </c:strRef>
          </c:tx>
          <c:marker>
            <c:symbol val="none"/>
          </c:marker>
          <c:cat>
            <c:strRef>
              <c:f>Joonised!$K$152:$K$162</c:f>
              <c:strCache>
                <c:ptCount val="11"/>
                <c:pt idx="0">
                  <c:v>"17</c:v>
                </c:pt>
                <c:pt idx="1">
                  <c:v>"18</c:v>
                </c:pt>
                <c:pt idx="2">
                  <c:v>"19</c:v>
                </c:pt>
                <c:pt idx="3">
                  <c:v>"20</c:v>
                </c:pt>
                <c:pt idx="4">
                  <c:v>"21</c:v>
                </c:pt>
                <c:pt idx="5">
                  <c:v>"22</c:v>
                </c:pt>
                <c:pt idx="6">
                  <c:v>"23</c:v>
                </c:pt>
                <c:pt idx="7">
                  <c:v>"24</c:v>
                </c:pt>
                <c:pt idx="8">
                  <c:v>"25</c:v>
                </c:pt>
                <c:pt idx="9">
                  <c:v>"26</c:v>
                </c:pt>
                <c:pt idx="10">
                  <c:v>"27</c:v>
                </c:pt>
              </c:strCache>
              <c:extLst/>
            </c:strRef>
          </c:cat>
          <c:val>
            <c:numRef>
              <c:f>Joonised!$L$152:$L$162</c:f>
              <c:numCache>
                <c:formatCode>0.0</c:formatCode>
                <c:ptCount val="11"/>
                <c:pt idx="0">
                  <c:v>2.1679270893930624</c:v>
                </c:pt>
                <c:pt idx="1">
                  <c:v>0.45551169146673676</c:v>
                </c:pt>
                <c:pt idx="2">
                  <c:v>1.012696493349452</c:v>
                </c:pt>
                <c:pt idx="3">
                  <c:v>-2.1696842735298483</c:v>
                </c:pt>
                <c:pt idx="4">
                  <c:v>-0.50474151116548516</c:v>
                </c:pt>
                <c:pt idx="5">
                  <c:v>4.1352805534204506</c:v>
                </c:pt>
                <c:pt idx="6">
                  <c:v>0.98050265721880692</c:v>
                </c:pt>
                <c:pt idx="7">
                  <c:v>0.42362310248746926</c:v>
                </c:pt>
                <c:pt idx="8">
                  <c:v>0.10000000000001119</c:v>
                </c:pt>
                <c:pt idx="9">
                  <c:v>4.9999999999994493E-2</c:v>
                </c:pt>
                <c:pt idx="10">
                  <c:v>0</c:v>
                </c:pt>
              </c:numCache>
              <c:extLst/>
            </c:numRef>
          </c:val>
          <c:smooth val="1"/>
          <c:extLst>
            <c:ext xmlns:c16="http://schemas.microsoft.com/office/drawing/2014/chart" uri="{C3380CC4-5D6E-409C-BE32-E72D297353CC}">
              <c16:uniqueId val="{00000001-3FDD-421F-A183-44E3ED8FFA7F}"/>
            </c:ext>
          </c:extLst>
        </c:ser>
        <c:ser>
          <c:idx val="3"/>
          <c:order val="3"/>
          <c:tx>
            <c:strRef>
              <c:f>Joonised!$O$140</c:f>
              <c:strCache>
                <c:ptCount val="1"/>
                <c:pt idx="0">
                  <c:v>Hõive muutus sõjapõgeniketa</c:v>
                </c:pt>
              </c:strCache>
            </c:strRef>
          </c:tx>
          <c:marker>
            <c:symbol val="none"/>
          </c:marker>
          <c:cat>
            <c:strRef>
              <c:f>Joonised!$K$152:$K$162</c:f>
              <c:strCache>
                <c:ptCount val="11"/>
                <c:pt idx="0">
                  <c:v>"17</c:v>
                </c:pt>
                <c:pt idx="1">
                  <c:v>"18</c:v>
                </c:pt>
                <c:pt idx="2">
                  <c:v>"19</c:v>
                </c:pt>
                <c:pt idx="3">
                  <c:v>"20</c:v>
                </c:pt>
                <c:pt idx="4">
                  <c:v>"21</c:v>
                </c:pt>
                <c:pt idx="5">
                  <c:v>"22</c:v>
                </c:pt>
                <c:pt idx="6">
                  <c:v>"23</c:v>
                </c:pt>
                <c:pt idx="7">
                  <c:v>"24</c:v>
                </c:pt>
                <c:pt idx="8">
                  <c:v>"25</c:v>
                </c:pt>
                <c:pt idx="9">
                  <c:v>"26</c:v>
                </c:pt>
                <c:pt idx="10">
                  <c:v>"27</c:v>
                </c:pt>
              </c:strCache>
              <c:extLst/>
            </c:strRef>
          </c:cat>
          <c:val>
            <c:numRef>
              <c:f>Joonised!$O$152:$O$162</c:f>
              <c:numCache>
                <c:formatCode>General</c:formatCode>
                <c:ptCount val="11"/>
                <c:pt idx="5" formatCode="0.0">
                  <c:v>4.1352805534204506</c:v>
                </c:pt>
                <c:pt idx="6" formatCode="0.0">
                  <c:v>-0.8</c:v>
                </c:pt>
                <c:pt idx="7" formatCode="0.0">
                  <c:v>0.1</c:v>
                </c:pt>
                <c:pt idx="8" formatCode="0.0">
                  <c:v>0</c:v>
                </c:pt>
                <c:pt idx="9" formatCode="0.0">
                  <c:v>0.1</c:v>
                </c:pt>
                <c:pt idx="10" formatCode="0.0">
                  <c:v>0</c:v>
                </c:pt>
              </c:numCache>
              <c:extLst/>
            </c:numRef>
          </c:val>
          <c:smooth val="1"/>
          <c:extLst>
            <c:ext xmlns:c16="http://schemas.microsoft.com/office/drawing/2014/chart" uri="{C3380CC4-5D6E-409C-BE32-E72D297353CC}">
              <c16:uniqueId val="{00000002-3FDD-421F-A183-44E3ED8FFA7F}"/>
            </c:ext>
          </c:extLst>
        </c:ser>
        <c:dLbls>
          <c:showLegendKey val="0"/>
          <c:showVal val="0"/>
          <c:showCatName val="0"/>
          <c:showSerName val="0"/>
          <c:showPercent val="0"/>
          <c:showBubbleSize val="0"/>
        </c:dLbls>
        <c:marker val="1"/>
        <c:smooth val="0"/>
        <c:axId val="314980496"/>
        <c:axId val="314978928"/>
      </c:lineChart>
      <c:catAx>
        <c:axId val="314980496"/>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314978928"/>
        <c:crosses val="autoZero"/>
        <c:auto val="1"/>
        <c:lblAlgn val="ctr"/>
        <c:lblOffset val="100"/>
        <c:noMultiLvlLbl val="0"/>
      </c:catAx>
      <c:valAx>
        <c:axId val="314978928"/>
        <c:scaling>
          <c:orientation val="minMax"/>
          <c:max val="5"/>
          <c:min val="-2"/>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314980496"/>
        <c:crosses val="autoZero"/>
        <c:crossBetween val="between"/>
        <c:majorUnit val="2"/>
        <c:minorUnit val="2"/>
      </c:valAx>
      <c:valAx>
        <c:axId val="314979320"/>
        <c:scaling>
          <c:orientation val="minMax"/>
          <c:max val="8"/>
          <c:min val="-3"/>
        </c:scaling>
        <c:delete val="0"/>
        <c:axPos val="r"/>
        <c:numFmt formatCode="0" sourceLinked="0"/>
        <c:majorTickMark val="in"/>
        <c:minorTickMark val="none"/>
        <c:tickLblPos val="nextTo"/>
        <c:spPr>
          <a:ln w="2540">
            <a:solidFill>
              <a:schemeClr val="tx1"/>
            </a:solidFill>
          </a:ln>
        </c:spPr>
        <c:crossAx val="206106056"/>
        <c:crosses val="max"/>
        <c:crossBetween val="between"/>
        <c:majorUnit val="2"/>
      </c:valAx>
      <c:catAx>
        <c:axId val="206106056"/>
        <c:scaling>
          <c:orientation val="minMax"/>
        </c:scaling>
        <c:delete val="1"/>
        <c:axPos val="b"/>
        <c:numFmt formatCode="General" sourceLinked="1"/>
        <c:majorTickMark val="out"/>
        <c:minorTickMark val="none"/>
        <c:tickLblPos val="none"/>
        <c:crossAx val="314979320"/>
        <c:crosses val="autoZero"/>
        <c:auto val="1"/>
        <c:lblAlgn val="ctr"/>
        <c:lblOffset val="100"/>
        <c:noMultiLvlLbl val="0"/>
      </c:catAx>
      <c:spPr>
        <a:ln>
          <a:noFill/>
        </a:ln>
      </c:spPr>
    </c:plotArea>
    <c:legend>
      <c:legendPos val="b"/>
      <c:layout>
        <c:manualLayout>
          <c:xMode val="edge"/>
          <c:yMode val="edge"/>
          <c:x val="3.9031354188834612E-2"/>
          <c:y val="0.72571780961506438"/>
          <c:w val="0.93211379464700661"/>
          <c:h val="0.27428219038493562"/>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84423284417860001"/>
          <c:h val="0.6889179636042847"/>
        </c:manualLayout>
      </c:layout>
      <c:lineChart>
        <c:grouping val="standard"/>
        <c:varyColors val="0"/>
        <c:ser>
          <c:idx val="0"/>
          <c:order val="0"/>
          <c:tx>
            <c:strRef>
              <c:f>Joonised!$L$168</c:f>
              <c:strCache>
                <c:ptCount val="1"/>
                <c:pt idx="0">
                  <c:v>Palga reaalkasv</c:v>
                </c:pt>
              </c:strCache>
            </c:strRef>
          </c:tx>
          <c:spPr>
            <a:ln w="31750">
              <a:solidFill>
                <a:srgbClr val="0070C0"/>
              </a:solidFill>
              <a:prstDash val="solid"/>
            </a:ln>
          </c:spPr>
          <c:marker>
            <c:symbol val="circle"/>
            <c:size val="3"/>
            <c:spPr>
              <a:solidFill>
                <a:srgbClr val="FFFFFF"/>
              </a:solidFill>
              <a:ln>
                <a:solidFill>
                  <a:srgbClr val="0070C0"/>
                </a:solidFill>
                <a:prstDash val="solid"/>
              </a:ln>
            </c:spPr>
          </c:marker>
          <c:cat>
            <c:strRef>
              <c:f>Joonised!$K$175:$K$190</c:f>
              <c:strCache>
                <c:ptCount val="16"/>
                <c:pt idx="0">
                  <c:v>"12</c:v>
                </c:pt>
                <c:pt idx="1">
                  <c:v>"13</c:v>
                </c:pt>
                <c:pt idx="2">
                  <c:v>"14</c:v>
                </c:pt>
                <c:pt idx="3">
                  <c:v>"15</c:v>
                </c:pt>
                <c:pt idx="4">
                  <c:v>"16</c:v>
                </c:pt>
                <c:pt idx="5">
                  <c:v>"17</c:v>
                </c:pt>
                <c:pt idx="6">
                  <c:v>"18</c:v>
                </c:pt>
                <c:pt idx="7">
                  <c:v>"19</c:v>
                </c:pt>
                <c:pt idx="8">
                  <c:v>"20</c:v>
                </c:pt>
                <c:pt idx="9">
                  <c:v>"21</c:v>
                </c:pt>
                <c:pt idx="10">
                  <c:v>"22</c:v>
                </c:pt>
                <c:pt idx="11">
                  <c:v>"23</c:v>
                </c:pt>
                <c:pt idx="12">
                  <c:v>"24</c:v>
                </c:pt>
                <c:pt idx="13">
                  <c:v>"25</c:v>
                </c:pt>
                <c:pt idx="14">
                  <c:v>"26</c:v>
                </c:pt>
                <c:pt idx="15">
                  <c:v>"27</c:v>
                </c:pt>
              </c:strCache>
              <c:extLst/>
            </c:strRef>
          </c:cat>
          <c:val>
            <c:numRef>
              <c:f>Joonised!$L$175:$L$190</c:f>
              <c:numCache>
                <c:formatCode>0.0</c:formatCode>
                <c:ptCount val="16"/>
                <c:pt idx="0">
                  <c:v>1.71583779502269</c:v>
                </c:pt>
                <c:pt idx="1">
                  <c:v>4.0833265447935752</c:v>
                </c:pt>
                <c:pt idx="2">
                  <c:v>6.0175676911620624</c:v>
                </c:pt>
                <c:pt idx="3">
                  <c:v>6.4929010117574126</c:v>
                </c:pt>
                <c:pt idx="4">
                  <c:v>7.4450035225506861</c:v>
                </c:pt>
                <c:pt idx="5">
                  <c:v>3.0294887956838101</c:v>
                </c:pt>
                <c:pt idx="6">
                  <c:v>4.0385238860651373</c:v>
                </c:pt>
                <c:pt idx="7">
                  <c:v>5.0832759966117358</c:v>
                </c:pt>
                <c:pt idx="8">
                  <c:v>3.3928869904708225</c:v>
                </c:pt>
                <c:pt idx="9">
                  <c:v>2.0725605050879947</c:v>
                </c:pt>
                <c:pt idx="10">
                  <c:v>-6.5256801624252407</c:v>
                </c:pt>
                <c:pt idx="11">
                  <c:v>1.4709643498235669</c:v>
                </c:pt>
                <c:pt idx="12">
                  <c:v>1.9153206537322109</c:v>
                </c:pt>
                <c:pt idx="13">
                  <c:v>2.7417309005756785</c:v>
                </c:pt>
                <c:pt idx="14">
                  <c:v>3.0568114802437485</c:v>
                </c:pt>
                <c:pt idx="15">
                  <c:v>2.5414581493474753</c:v>
                </c:pt>
              </c:numCache>
              <c:extLst/>
            </c:numRef>
          </c:val>
          <c:smooth val="1"/>
          <c:extLst>
            <c:ext xmlns:c16="http://schemas.microsoft.com/office/drawing/2014/chart" uri="{C3380CC4-5D6E-409C-BE32-E72D297353CC}">
              <c16:uniqueId val="{00000000-694F-401A-AA49-E40834B70E65}"/>
            </c:ext>
          </c:extLst>
        </c:ser>
        <c:ser>
          <c:idx val="1"/>
          <c:order val="1"/>
          <c:tx>
            <c:strRef>
              <c:f>Joonised!$M$168</c:f>
              <c:strCache>
                <c:ptCount val="1"/>
                <c:pt idx="0">
                  <c:v>Tööviljakuse kasv</c:v>
                </c:pt>
              </c:strCache>
            </c:strRef>
          </c:tx>
          <c:marker>
            <c:symbol val="circle"/>
            <c:size val="3"/>
            <c:spPr>
              <a:solidFill>
                <a:srgbClr val="FFFFFF">
                  <a:alpha val="50000"/>
                </a:srgbClr>
              </a:solidFill>
            </c:spPr>
          </c:marker>
          <c:cat>
            <c:strRef>
              <c:f>Joonised!$K$175:$K$190</c:f>
              <c:strCache>
                <c:ptCount val="16"/>
                <c:pt idx="0">
                  <c:v>"12</c:v>
                </c:pt>
                <c:pt idx="1">
                  <c:v>"13</c:v>
                </c:pt>
                <c:pt idx="2">
                  <c:v>"14</c:v>
                </c:pt>
                <c:pt idx="3">
                  <c:v>"15</c:v>
                </c:pt>
                <c:pt idx="4">
                  <c:v>"16</c:v>
                </c:pt>
                <c:pt idx="5">
                  <c:v>"17</c:v>
                </c:pt>
                <c:pt idx="6">
                  <c:v>"18</c:v>
                </c:pt>
                <c:pt idx="7">
                  <c:v>"19</c:v>
                </c:pt>
                <c:pt idx="8">
                  <c:v>"20</c:v>
                </c:pt>
                <c:pt idx="9">
                  <c:v>"21</c:v>
                </c:pt>
                <c:pt idx="10">
                  <c:v>"22</c:v>
                </c:pt>
                <c:pt idx="11">
                  <c:v>"23</c:v>
                </c:pt>
                <c:pt idx="12">
                  <c:v>"24</c:v>
                </c:pt>
                <c:pt idx="13">
                  <c:v>"25</c:v>
                </c:pt>
                <c:pt idx="14">
                  <c:v>"26</c:v>
                </c:pt>
                <c:pt idx="15">
                  <c:v>"27</c:v>
                </c:pt>
              </c:strCache>
              <c:extLst/>
            </c:strRef>
          </c:cat>
          <c:val>
            <c:numRef>
              <c:f>Joonised!$M$175:$M$190</c:f>
              <c:numCache>
                <c:formatCode>0.0</c:formatCode>
                <c:ptCount val="16"/>
                <c:pt idx="0">
                  <c:v>1.263579173666713</c:v>
                </c:pt>
                <c:pt idx="1">
                  <c:v>0.40899779733764774</c:v>
                </c:pt>
                <c:pt idx="2">
                  <c:v>2.4392260929796379</c:v>
                </c:pt>
                <c:pt idx="3">
                  <c:v>-0.70236884058039095</c:v>
                </c:pt>
                <c:pt idx="4">
                  <c:v>2.5597927161172436</c:v>
                </c:pt>
                <c:pt idx="5">
                  <c:v>3.547280370924824</c:v>
                </c:pt>
                <c:pt idx="6">
                  <c:v>3.3135219256885051</c:v>
                </c:pt>
                <c:pt idx="7">
                  <c:v>2.9904678810397201</c:v>
                </c:pt>
                <c:pt idx="8">
                  <c:v>1.2309293498190783</c:v>
                </c:pt>
                <c:pt idx="9">
                  <c:v>7.7939551888297558</c:v>
                </c:pt>
                <c:pt idx="10">
                  <c:v>-4.4140136778581649</c:v>
                </c:pt>
                <c:pt idx="11">
                  <c:v>-2.9560461557191218</c:v>
                </c:pt>
                <c:pt idx="12">
                  <c:v>2.2629926471465325</c:v>
                </c:pt>
                <c:pt idx="13">
                  <c:v>2.8472635489252838</c:v>
                </c:pt>
                <c:pt idx="14">
                  <c:v>2.4571953172839613</c:v>
                </c:pt>
                <c:pt idx="15">
                  <c:v>2.2047623225483193</c:v>
                </c:pt>
              </c:numCache>
              <c:extLst/>
            </c:numRef>
          </c:val>
          <c:smooth val="1"/>
          <c:extLst>
            <c:ext xmlns:c16="http://schemas.microsoft.com/office/drawing/2014/chart" uri="{C3380CC4-5D6E-409C-BE32-E72D297353CC}">
              <c16:uniqueId val="{00000001-694F-401A-AA49-E40834B70E65}"/>
            </c:ext>
          </c:extLst>
        </c:ser>
        <c:dLbls>
          <c:showLegendKey val="0"/>
          <c:showVal val="0"/>
          <c:showCatName val="0"/>
          <c:showSerName val="0"/>
          <c:showPercent val="0"/>
          <c:showBubbleSize val="0"/>
        </c:dLbls>
        <c:marker val="1"/>
        <c:smooth val="0"/>
        <c:axId val="206106448"/>
        <c:axId val="206108408"/>
      </c:lineChart>
      <c:lineChart>
        <c:grouping val="standard"/>
        <c:varyColors val="0"/>
        <c:ser>
          <c:idx val="2"/>
          <c:order val="2"/>
          <c:tx>
            <c:strRef>
              <c:f>Joonised!$N$168</c:f>
              <c:strCache>
                <c:ptCount val="1"/>
                <c:pt idx="0">
                  <c:v>Tööjõukulud (SKPst, p.sk)</c:v>
                </c:pt>
              </c:strCache>
            </c:strRef>
          </c:tx>
          <c:cat>
            <c:strRef>
              <c:f>Joonised!$K$175:$K$190</c:f>
              <c:strCache>
                <c:ptCount val="16"/>
                <c:pt idx="0">
                  <c:v>"12</c:v>
                </c:pt>
                <c:pt idx="1">
                  <c:v>"13</c:v>
                </c:pt>
                <c:pt idx="2">
                  <c:v>"14</c:v>
                </c:pt>
                <c:pt idx="3">
                  <c:v>"15</c:v>
                </c:pt>
                <c:pt idx="4">
                  <c:v>"16</c:v>
                </c:pt>
                <c:pt idx="5">
                  <c:v>"17</c:v>
                </c:pt>
                <c:pt idx="6">
                  <c:v>"18</c:v>
                </c:pt>
                <c:pt idx="7">
                  <c:v>"19</c:v>
                </c:pt>
                <c:pt idx="8">
                  <c:v>"20</c:v>
                </c:pt>
                <c:pt idx="9">
                  <c:v>"21</c:v>
                </c:pt>
                <c:pt idx="10">
                  <c:v>"22</c:v>
                </c:pt>
                <c:pt idx="11">
                  <c:v>"23</c:v>
                </c:pt>
                <c:pt idx="12">
                  <c:v>"24</c:v>
                </c:pt>
                <c:pt idx="13">
                  <c:v>"25</c:v>
                </c:pt>
                <c:pt idx="14">
                  <c:v>"26</c:v>
                </c:pt>
                <c:pt idx="15">
                  <c:v>"27</c:v>
                </c:pt>
              </c:strCache>
              <c:extLst/>
            </c:strRef>
          </c:cat>
          <c:val>
            <c:numRef>
              <c:f>Joonised!$N$175:$N$190</c:f>
              <c:numCache>
                <c:formatCode>0.0</c:formatCode>
                <c:ptCount val="16"/>
                <c:pt idx="0">
                  <c:v>44.6</c:v>
                </c:pt>
                <c:pt idx="1">
                  <c:v>45.1</c:v>
                </c:pt>
                <c:pt idx="2">
                  <c:v>45.7</c:v>
                </c:pt>
                <c:pt idx="3">
                  <c:v>47.3</c:v>
                </c:pt>
                <c:pt idx="4">
                  <c:v>47.7</c:v>
                </c:pt>
                <c:pt idx="5">
                  <c:v>47.5</c:v>
                </c:pt>
                <c:pt idx="6">
                  <c:v>48.1</c:v>
                </c:pt>
                <c:pt idx="7">
                  <c:v>48.6</c:v>
                </c:pt>
                <c:pt idx="8">
                  <c:v>50.4</c:v>
                </c:pt>
                <c:pt idx="9">
                  <c:v>48.3</c:v>
                </c:pt>
                <c:pt idx="10">
                  <c:v>47.6</c:v>
                </c:pt>
                <c:pt idx="11">
                  <c:v>49</c:v>
                </c:pt>
                <c:pt idx="12">
                  <c:v>49.2</c:v>
                </c:pt>
                <c:pt idx="13">
                  <c:v>49.4</c:v>
                </c:pt>
                <c:pt idx="14">
                  <c:v>49.5</c:v>
                </c:pt>
                <c:pt idx="15">
                  <c:v>49.5</c:v>
                </c:pt>
              </c:numCache>
              <c:extLst/>
            </c:numRef>
          </c:val>
          <c:smooth val="0"/>
          <c:extLst>
            <c:ext xmlns:c16="http://schemas.microsoft.com/office/drawing/2014/chart" uri="{C3380CC4-5D6E-409C-BE32-E72D297353CC}">
              <c16:uniqueId val="{00000002-694F-401A-AA49-E40834B70E65}"/>
            </c:ext>
          </c:extLst>
        </c:ser>
        <c:dLbls>
          <c:showLegendKey val="0"/>
          <c:showVal val="0"/>
          <c:showCatName val="0"/>
          <c:showSerName val="0"/>
          <c:showPercent val="0"/>
          <c:showBubbleSize val="0"/>
        </c:dLbls>
        <c:marker val="1"/>
        <c:smooth val="0"/>
        <c:axId val="206105664"/>
        <c:axId val="206107232"/>
      </c:lineChart>
      <c:catAx>
        <c:axId val="206106448"/>
        <c:scaling>
          <c:orientation val="minMax"/>
        </c:scaling>
        <c:delete val="0"/>
        <c:axPos val="b"/>
        <c:numFmt formatCode="General" sourceLinked="1"/>
        <c:majorTickMark val="out"/>
        <c:minorTickMark val="none"/>
        <c:tickLblPos val="nextTo"/>
        <c:spPr>
          <a:ln w="2570">
            <a:solidFill>
              <a:srgbClr val="000000"/>
            </a:solidFill>
            <a:prstDash val="solid"/>
          </a:ln>
        </c:spPr>
        <c:txPr>
          <a:bodyPr rot="-2700000" vert="horz"/>
          <a:lstStyle/>
          <a:p>
            <a:pPr>
              <a:defRPr/>
            </a:pPr>
            <a:endParaRPr lang="et-EE"/>
          </a:p>
        </c:txPr>
        <c:crossAx val="206108408"/>
        <c:crosses val="autoZero"/>
        <c:auto val="1"/>
        <c:lblAlgn val="ctr"/>
        <c:lblOffset val="100"/>
        <c:tickLblSkip val="2"/>
        <c:tickMarkSkip val="1"/>
        <c:noMultiLvlLbl val="0"/>
      </c:catAx>
      <c:valAx>
        <c:axId val="206108408"/>
        <c:scaling>
          <c:orientation val="minMax"/>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206106448"/>
        <c:crosses val="autoZero"/>
        <c:crossBetween val="between"/>
        <c:majorUnit val="2"/>
        <c:minorUnit val="1"/>
      </c:valAx>
      <c:valAx>
        <c:axId val="206107232"/>
        <c:scaling>
          <c:orientation val="minMax"/>
          <c:max val="55"/>
          <c:min val="20"/>
        </c:scaling>
        <c:delete val="0"/>
        <c:axPos val="r"/>
        <c:numFmt formatCode="0" sourceLinked="0"/>
        <c:majorTickMark val="in"/>
        <c:minorTickMark val="none"/>
        <c:tickLblPos val="nextTo"/>
        <c:spPr>
          <a:ln w="2540">
            <a:solidFill>
              <a:schemeClr val="tx1"/>
            </a:solidFill>
          </a:ln>
        </c:spPr>
        <c:crossAx val="206105664"/>
        <c:crosses val="max"/>
        <c:crossBetween val="between"/>
      </c:valAx>
      <c:catAx>
        <c:axId val="206105664"/>
        <c:scaling>
          <c:orientation val="minMax"/>
        </c:scaling>
        <c:delete val="1"/>
        <c:axPos val="b"/>
        <c:numFmt formatCode="General" sourceLinked="1"/>
        <c:majorTickMark val="out"/>
        <c:minorTickMark val="none"/>
        <c:tickLblPos val="none"/>
        <c:crossAx val="206107232"/>
        <c:crosses val="autoZero"/>
        <c:auto val="1"/>
        <c:lblAlgn val="ctr"/>
        <c:lblOffset val="100"/>
        <c:noMultiLvlLbl val="0"/>
      </c:catAx>
      <c:spPr>
        <a:ln>
          <a:noFill/>
        </a:ln>
      </c:spPr>
    </c:plotArea>
    <c:legend>
      <c:legendPos val="b"/>
      <c:layout>
        <c:manualLayout>
          <c:xMode val="edge"/>
          <c:yMode val="edge"/>
          <c:x val="7.8684446632570779E-2"/>
          <c:y val="0.76063479228721564"/>
          <c:w val="0.82587574537551656"/>
          <c:h val="0.23936520771278474"/>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89772779097339028"/>
          <c:h val="0.6889179636042847"/>
        </c:manualLayout>
      </c:layout>
      <c:lineChart>
        <c:grouping val="standard"/>
        <c:varyColors val="0"/>
        <c:ser>
          <c:idx val="0"/>
          <c:order val="0"/>
          <c:tx>
            <c:strRef>
              <c:f>Joonised!$R$129</c:f>
              <c:strCache>
                <c:ptCount val="1"/>
                <c:pt idx="0">
                  <c:v>Eesti THI </c:v>
                </c:pt>
              </c:strCache>
            </c:strRef>
          </c:tx>
          <c:marker>
            <c:symbol val="circle"/>
            <c:size val="3"/>
            <c:spPr>
              <a:solidFill>
                <a:srgbClr val="FFFFFF"/>
              </a:solidFill>
              <a:ln>
                <a:solidFill>
                  <a:srgbClr val="0070C0"/>
                </a:solidFill>
                <a:prstDash val="solid"/>
              </a:ln>
            </c:spPr>
          </c:marker>
          <c:cat>
            <c:strRef>
              <c:f>Joonised!$Q$130:$Q$145</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Joonised!$R$130:$R$145</c:f>
              <c:numCache>
                <c:formatCode>General</c:formatCode>
                <c:ptCount val="16"/>
                <c:pt idx="0">
                  <c:v>3.9</c:v>
                </c:pt>
                <c:pt idx="1">
                  <c:v>2.8</c:v>
                </c:pt>
                <c:pt idx="2">
                  <c:v>-0.1</c:v>
                </c:pt>
                <c:pt idx="3">
                  <c:v>-0.5</c:v>
                </c:pt>
                <c:pt idx="4">
                  <c:v>0.1</c:v>
                </c:pt>
                <c:pt idx="5">
                  <c:v>3.4</c:v>
                </c:pt>
                <c:pt idx="6">
                  <c:v>3.4</c:v>
                </c:pt>
                <c:pt idx="7">
                  <c:v>2.2999999999999998</c:v>
                </c:pt>
                <c:pt idx="8">
                  <c:v>-0.4</c:v>
                </c:pt>
                <c:pt idx="9" formatCode="0.0">
                  <c:v>4.6497999999999999</c:v>
                </c:pt>
                <c:pt idx="10" formatCode="0.0">
                  <c:v>19.400000000000002</c:v>
                </c:pt>
                <c:pt idx="11" formatCode="0.0">
                  <c:v>9.56</c:v>
                </c:pt>
                <c:pt idx="12" formatCode="0.0">
                  <c:v>4.63</c:v>
                </c:pt>
                <c:pt idx="13" formatCode="0.0">
                  <c:v>2.4899999999999998</c:v>
                </c:pt>
                <c:pt idx="14" formatCode="0.0">
                  <c:v>1.7399999999999998</c:v>
                </c:pt>
                <c:pt idx="15" formatCode="0.0">
                  <c:v>1.91</c:v>
                </c:pt>
              </c:numCache>
            </c:numRef>
          </c:val>
          <c:smooth val="1"/>
          <c:extLst>
            <c:ext xmlns:c16="http://schemas.microsoft.com/office/drawing/2014/chart" uri="{C3380CC4-5D6E-409C-BE32-E72D297353CC}">
              <c16:uniqueId val="{00000000-2A06-4D2C-9A09-23A3F7C4F7D0}"/>
            </c:ext>
          </c:extLst>
        </c:ser>
        <c:ser>
          <c:idx val="2"/>
          <c:order val="1"/>
          <c:tx>
            <c:strRef>
              <c:f>Joonised!$T$129</c:f>
              <c:strCache>
                <c:ptCount val="1"/>
                <c:pt idx="0">
                  <c:v>Euroala THHI</c:v>
                </c:pt>
              </c:strCache>
            </c:strRef>
          </c:tx>
          <c:marker>
            <c:symbol val="none"/>
          </c:marker>
          <c:cat>
            <c:strRef>
              <c:f>Joonised!$Q$130:$Q$145</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f>Joonised!$T$130:$T$145</c:f>
              <c:numCache>
                <c:formatCode>General</c:formatCode>
                <c:ptCount val="16"/>
                <c:pt idx="0">
                  <c:v>2.5</c:v>
                </c:pt>
                <c:pt idx="1">
                  <c:v>1.4</c:v>
                </c:pt>
                <c:pt idx="2">
                  <c:v>0.4</c:v>
                </c:pt>
                <c:pt idx="3">
                  <c:v>0.2</c:v>
                </c:pt>
                <c:pt idx="4">
                  <c:v>0.2</c:v>
                </c:pt>
                <c:pt idx="5">
                  <c:v>1.5</c:v>
                </c:pt>
                <c:pt idx="6">
                  <c:v>1.8</c:v>
                </c:pt>
                <c:pt idx="7">
                  <c:v>1.2</c:v>
                </c:pt>
                <c:pt idx="8">
                  <c:v>0.3</c:v>
                </c:pt>
                <c:pt idx="9">
                  <c:v>2.6</c:v>
                </c:pt>
                <c:pt idx="10" formatCode="0.0">
                  <c:v>8.4</c:v>
                </c:pt>
                <c:pt idx="11" formatCode="0.0">
                  <c:v>5.5</c:v>
                </c:pt>
                <c:pt idx="12" formatCode="0.0">
                  <c:v>3</c:v>
                </c:pt>
                <c:pt idx="13" formatCode="0.0">
                  <c:v>2.2000000000000002</c:v>
                </c:pt>
                <c:pt idx="14" formatCode="0.0">
                  <c:v>2</c:v>
                </c:pt>
                <c:pt idx="15" formatCode="0.0">
                  <c:v>1.9</c:v>
                </c:pt>
              </c:numCache>
            </c:numRef>
          </c:val>
          <c:smooth val="1"/>
          <c:extLst>
            <c:ext xmlns:c16="http://schemas.microsoft.com/office/drawing/2014/chart" uri="{C3380CC4-5D6E-409C-BE32-E72D297353CC}">
              <c16:uniqueId val="{00000001-2A06-4D2C-9A09-23A3F7C4F7D0}"/>
            </c:ext>
          </c:extLst>
        </c:ser>
        <c:dLbls>
          <c:showLegendKey val="0"/>
          <c:showVal val="0"/>
          <c:showCatName val="0"/>
          <c:showSerName val="0"/>
          <c:showPercent val="0"/>
          <c:showBubbleSize val="0"/>
        </c:dLbls>
        <c:marker val="1"/>
        <c:smooth val="0"/>
        <c:axId val="314981672"/>
        <c:axId val="314979712"/>
      </c:lineChart>
      <c:catAx>
        <c:axId val="314981672"/>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314979712"/>
        <c:crosses val="autoZero"/>
        <c:auto val="1"/>
        <c:lblAlgn val="ctr"/>
        <c:lblOffset val="100"/>
        <c:tickLblSkip val="2"/>
        <c:tickMarkSkip val="1"/>
        <c:noMultiLvlLbl val="0"/>
      </c:catAx>
      <c:valAx>
        <c:axId val="314979712"/>
        <c:scaling>
          <c:orientation val="minMax"/>
          <c:max val="21"/>
          <c:min val="-3"/>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314981672"/>
        <c:crosses val="autoZero"/>
        <c:crossBetween val="between"/>
        <c:majorUnit val="3"/>
        <c:minorUnit val="1"/>
      </c:valAx>
      <c:spPr>
        <a:ln>
          <a:noFill/>
        </a:ln>
      </c:spPr>
    </c:plotArea>
    <c:legend>
      <c:legendPos val="b"/>
      <c:layout>
        <c:manualLayout>
          <c:xMode val="edge"/>
          <c:yMode val="edge"/>
          <c:x val="4.5788814541115982E-2"/>
          <c:y val="0.84724165897450765"/>
          <c:w val="0.86303935466090065"/>
          <c:h val="0.15275834102549901"/>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3.7841530054645002E-2"/>
          <c:w val="0.90854820792629121"/>
          <c:h val="0.66023353125941264"/>
        </c:manualLayout>
      </c:layout>
      <c:barChart>
        <c:barDir val="col"/>
        <c:grouping val="stacked"/>
        <c:varyColors val="0"/>
        <c:ser>
          <c:idx val="0"/>
          <c:order val="0"/>
          <c:tx>
            <c:strRef>
              <c:f>Joonised!$L$19</c:f>
              <c:strCache>
                <c:ptCount val="1"/>
                <c:pt idx="0">
                  <c:v>Toodangulõhe</c:v>
                </c:pt>
              </c:strCache>
            </c:strRef>
          </c:tx>
          <c:spPr>
            <a:solidFill>
              <a:schemeClr val="accent3">
                <a:lumMod val="60000"/>
                <a:lumOff val="40000"/>
              </a:schemeClr>
            </a:solidFill>
            <a:ln w="31750">
              <a:noFill/>
              <a:prstDash val="solid"/>
            </a:ln>
          </c:spPr>
          <c:invertIfNegative val="0"/>
          <c:cat>
            <c:numRef>
              <c:f>Joonised!$K$22:$K$44</c:f>
              <c:numCache>
                <c:formatCode>General</c:formatCode>
                <c:ptCount val="23"/>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numCache>
              <c:extLst/>
            </c:numRef>
          </c:cat>
          <c:val>
            <c:numRef>
              <c:f>Joonised!$L$22:$L$44</c:f>
              <c:numCache>
                <c:formatCode>0.0</c:formatCode>
                <c:ptCount val="23"/>
                <c:pt idx="0">
                  <c:v>5.3271649531915433</c:v>
                </c:pt>
                <c:pt idx="1">
                  <c:v>8.9542746049388491</c:v>
                </c:pt>
                <c:pt idx="2">
                  <c:v>11.469329502354491</c:v>
                </c:pt>
                <c:pt idx="3">
                  <c:v>3.238999610684457</c:v>
                </c:pt>
                <c:pt idx="4">
                  <c:v>-11.08189530847064</c:v>
                </c:pt>
                <c:pt idx="5">
                  <c:v>-8.4632706831007543</c:v>
                </c:pt>
                <c:pt idx="6">
                  <c:v>-2.600707517730672</c:v>
                </c:pt>
                <c:pt idx="7">
                  <c:v>-0.78624258938457814</c:v>
                </c:pt>
                <c:pt idx="8">
                  <c:v>-0.95481613303378676</c:v>
                </c:pt>
                <c:pt idx="9">
                  <c:v>-0.18919422764484001</c:v>
                </c:pt>
                <c:pt idx="10">
                  <c:v>-0.72608255008785871</c:v>
                </c:pt>
                <c:pt idx="11">
                  <c:v>-0.28326079331660869</c:v>
                </c:pt>
                <c:pt idx="12">
                  <c:v>1.8601639082103769</c:v>
                </c:pt>
                <c:pt idx="13">
                  <c:v>1.4918671655351321</c:v>
                </c:pt>
                <c:pt idx="14">
                  <c:v>1.255897836209052</c:v>
                </c:pt>
                <c:pt idx="15">
                  <c:v>-2.4240321508712359</c:v>
                </c:pt>
                <c:pt idx="16">
                  <c:v>2.1660500449046438</c:v>
                </c:pt>
                <c:pt idx="17">
                  <c:v>-0.83361527842653604</c:v>
                </c:pt>
                <c:pt idx="18">
                  <c:v>-4.3661396896472846</c:v>
                </c:pt>
                <c:pt idx="19">
                  <c:v>-3.331256110282355</c:v>
                </c:pt>
                <c:pt idx="20">
                  <c:v>-1.8283744939797451</c:v>
                </c:pt>
                <c:pt idx="21">
                  <c:v>-0.92674002541759393</c:v>
                </c:pt>
                <c:pt idx="22">
                  <c:v>-0.31030309030023462</c:v>
                </c:pt>
              </c:numCache>
              <c:extLst/>
            </c:numRef>
          </c:val>
          <c:extLst>
            <c:ext xmlns:c16="http://schemas.microsoft.com/office/drawing/2014/chart" uri="{C3380CC4-5D6E-409C-BE32-E72D297353CC}">
              <c16:uniqueId val="{00000000-3EF1-4A6C-ABCC-C85A07136BBE}"/>
            </c:ext>
          </c:extLst>
        </c:ser>
        <c:dLbls>
          <c:showLegendKey val="0"/>
          <c:showVal val="0"/>
          <c:showCatName val="0"/>
          <c:showSerName val="0"/>
          <c:showPercent val="0"/>
          <c:showBubbleSize val="0"/>
        </c:dLbls>
        <c:gapWidth val="0"/>
        <c:overlap val="100"/>
        <c:axId val="700563952"/>
        <c:axId val="700561208"/>
      </c:barChart>
      <c:lineChart>
        <c:grouping val="standard"/>
        <c:varyColors val="0"/>
        <c:ser>
          <c:idx val="1"/>
          <c:order val="1"/>
          <c:tx>
            <c:strRef>
              <c:f>Joonised!$M$19</c:f>
              <c:strCache>
                <c:ptCount val="1"/>
                <c:pt idx="0">
                  <c:v>Potentsiaalne kasv</c:v>
                </c:pt>
              </c:strCache>
            </c:strRef>
          </c:tx>
          <c:spPr>
            <a:ln>
              <a:solidFill>
                <a:schemeClr val="bg1">
                  <a:lumMod val="65000"/>
                </a:schemeClr>
              </a:solidFill>
            </a:ln>
          </c:spPr>
          <c:marker>
            <c:symbol val="none"/>
          </c:marker>
          <c:cat>
            <c:numRef>
              <c:f>Joonised!$K$22:$K$44</c:f>
              <c:numCache>
                <c:formatCode>General</c:formatCode>
                <c:ptCount val="23"/>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numCache>
              <c:extLst/>
            </c:numRef>
          </c:cat>
          <c:val>
            <c:numRef>
              <c:f>Joonised!$M$22:$M$44</c:f>
              <c:numCache>
                <c:formatCode>0.0</c:formatCode>
                <c:ptCount val="23"/>
                <c:pt idx="0">
                  <c:v>6.3927371808501334</c:v>
                </c:pt>
                <c:pt idx="1">
                  <c:v>6.1114607325867922</c:v>
                </c:pt>
                <c:pt idx="2">
                  <c:v>5.1518601276828093</c:v>
                </c:pt>
                <c:pt idx="3">
                  <c:v>2.4309978605599127</c:v>
                </c:pt>
                <c:pt idx="4">
                  <c:v>-0.87944388250180339</c:v>
                </c:pt>
                <c:pt idx="5">
                  <c:v>-0.4864013283387294</c:v>
                </c:pt>
                <c:pt idx="6">
                  <c:v>0.80678243169880659</c:v>
                </c:pt>
                <c:pt idx="7">
                  <c:v>1.3403287933749368</c:v>
                </c:pt>
                <c:pt idx="8">
                  <c:v>1.6311044716215832</c:v>
                </c:pt>
                <c:pt idx="9">
                  <c:v>2.2211894474777836</c:v>
                </c:pt>
                <c:pt idx="10">
                  <c:v>2.4038668395815392</c:v>
                </c:pt>
                <c:pt idx="11">
                  <c:v>2.6974915389376974</c:v>
                </c:pt>
                <c:pt idx="12">
                  <c:v>3.5658539971554291</c:v>
                </c:pt>
                <c:pt idx="13">
                  <c:v>4.1608345867556409</c:v>
                </c:pt>
                <c:pt idx="14">
                  <c:v>4.276319892042892</c:v>
                </c:pt>
                <c:pt idx="15">
                  <c:v>2.7694796627407925</c:v>
                </c:pt>
                <c:pt idx="16">
                  <c:v>2.4305656181922188</c:v>
                </c:pt>
                <c:pt idx="17">
                  <c:v>2.5500606723504688</c:v>
                </c:pt>
                <c:pt idx="18">
                  <c:v>1.6468587846978977</c:v>
                </c:pt>
                <c:pt idx="19">
                  <c:v>1.6274657773879255</c:v>
                </c:pt>
                <c:pt idx="20">
                  <c:v>1.4232021657858809</c:v>
                </c:pt>
                <c:pt idx="21">
                  <c:v>1.5671798520475448</c:v>
                </c:pt>
                <c:pt idx="22">
                  <c:v>1.5680404623352757</c:v>
                </c:pt>
              </c:numCache>
              <c:extLst/>
            </c:numRef>
          </c:val>
          <c:smooth val="0"/>
          <c:extLst>
            <c:ext xmlns:c16="http://schemas.microsoft.com/office/drawing/2014/chart" uri="{C3380CC4-5D6E-409C-BE32-E72D297353CC}">
              <c16:uniqueId val="{00000001-3EF1-4A6C-ABCC-C85A07136BBE}"/>
            </c:ext>
          </c:extLst>
        </c:ser>
        <c:ser>
          <c:idx val="2"/>
          <c:order val="2"/>
          <c:tx>
            <c:strRef>
              <c:f>Joonised!$N$19</c:f>
              <c:strCache>
                <c:ptCount val="1"/>
                <c:pt idx="0">
                  <c:v>SKP reaalkasv</c:v>
                </c:pt>
              </c:strCache>
            </c:strRef>
          </c:tx>
          <c:spPr>
            <a:ln>
              <a:solidFill>
                <a:schemeClr val="accent1"/>
              </a:solidFill>
            </a:ln>
          </c:spPr>
          <c:marker>
            <c:symbol val="none"/>
          </c:marker>
          <c:cat>
            <c:numRef>
              <c:f>Joonised!$K$22:$K$44</c:f>
              <c:numCache>
                <c:formatCode>General</c:formatCode>
                <c:ptCount val="23"/>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pt idx="21">
                  <c:v>2026</c:v>
                </c:pt>
                <c:pt idx="22">
                  <c:v>2027</c:v>
                </c:pt>
              </c:numCache>
              <c:extLst/>
            </c:numRef>
          </c:cat>
          <c:val>
            <c:numRef>
              <c:f>Joonised!$N$22:$N$44</c:f>
              <c:numCache>
                <c:formatCode>0.0</c:formatCode>
                <c:ptCount val="23"/>
                <c:pt idx="0">
                  <c:v>9.5262325433121973</c:v>
                </c:pt>
                <c:pt idx="1">
                  <c:v>9.7656403051657783</c:v>
                </c:pt>
                <c:pt idx="2">
                  <c:v>7.5791416799249278</c:v>
                </c:pt>
                <c:pt idx="3">
                  <c:v>-5.1320822687908603</c:v>
                </c:pt>
                <c:pt idx="4">
                  <c:v>-14.629259518337168</c:v>
                </c:pt>
                <c:pt idx="5">
                  <c:v>2.445262523337699</c:v>
                </c:pt>
                <c:pt idx="6">
                  <c:v>7.2629528276555444</c:v>
                </c:pt>
                <c:pt idx="7">
                  <c:v>3.2276620222421171</c:v>
                </c:pt>
                <c:pt idx="8">
                  <c:v>1.4581140486657151</c:v>
                </c:pt>
                <c:pt idx="9">
                  <c:v>3.0121339720704965</c:v>
                </c:pt>
                <c:pt idx="10">
                  <c:v>1.8522815349450328</c:v>
                </c:pt>
                <c:pt idx="11">
                  <c:v>3.15588450558133</c:v>
                </c:pt>
                <c:pt idx="12">
                  <c:v>5.792109912415877</c:v>
                </c:pt>
                <c:pt idx="13">
                  <c:v>3.7841270969260821</c:v>
                </c:pt>
                <c:pt idx="14">
                  <c:v>4.0334487377551937</c:v>
                </c:pt>
                <c:pt idx="15">
                  <c:v>-0.96546220423205398</c:v>
                </c:pt>
                <c:pt idx="16">
                  <c:v>7.2498743504645802</c:v>
                </c:pt>
                <c:pt idx="17">
                  <c:v>-0.46126497368350616</c:v>
                </c:pt>
                <c:pt idx="18">
                  <c:v>-2.0045276096057774</c:v>
                </c:pt>
                <c:pt idx="19">
                  <c:v>2.6962023092949039</c:v>
                </c:pt>
                <c:pt idx="20">
                  <c:v>2.9501108124742048</c:v>
                </c:pt>
                <c:pt idx="21">
                  <c:v>2.5084239149426146</c:v>
                </c:pt>
                <c:pt idx="22">
                  <c:v>2.2047623225482926</c:v>
                </c:pt>
              </c:numCache>
              <c:extLst/>
            </c:numRef>
          </c:val>
          <c:smooth val="0"/>
          <c:extLst>
            <c:ext xmlns:c16="http://schemas.microsoft.com/office/drawing/2014/chart" uri="{C3380CC4-5D6E-409C-BE32-E72D297353CC}">
              <c16:uniqueId val="{00000002-3EF1-4A6C-ABCC-C85A07136BBE}"/>
            </c:ext>
          </c:extLst>
        </c:ser>
        <c:dLbls>
          <c:showLegendKey val="0"/>
          <c:showVal val="0"/>
          <c:showCatName val="0"/>
          <c:showSerName val="0"/>
          <c:showPercent val="0"/>
          <c:showBubbleSize val="0"/>
        </c:dLbls>
        <c:marker val="1"/>
        <c:smooth val="0"/>
        <c:axId val="700563952"/>
        <c:axId val="700561208"/>
      </c:lineChart>
      <c:catAx>
        <c:axId val="700563952"/>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700561208"/>
        <c:crosses val="autoZero"/>
        <c:auto val="1"/>
        <c:lblAlgn val="ctr"/>
        <c:lblOffset val="100"/>
        <c:tickLblSkip val="3"/>
        <c:noMultiLvlLbl val="0"/>
      </c:catAx>
      <c:valAx>
        <c:axId val="700561208"/>
        <c:scaling>
          <c:orientation val="minMax"/>
          <c:max val="13"/>
          <c:min val="-10"/>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700563952"/>
        <c:crosses val="autoZero"/>
        <c:crossBetween val="between"/>
        <c:majorUnit val="4"/>
        <c:minorUnit val="2"/>
      </c:valAx>
      <c:spPr>
        <a:ln>
          <a:noFill/>
        </a:ln>
      </c:spPr>
    </c:plotArea>
    <c:legend>
      <c:legendPos val="b"/>
      <c:layout>
        <c:manualLayout>
          <c:xMode val="edge"/>
          <c:yMode val="edge"/>
          <c:x val="3.9031354188834612E-2"/>
          <c:y val="0.79546956630421206"/>
          <c:w val="0.92493260977512948"/>
          <c:h val="0.20452993375828021"/>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3.7841530054645002E-2"/>
          <c:w val="0.90854820792629121"/>
          <c:h val="0.66023353125941264"/>
        </c:manualLayout>
      </c:layout>
      <c:lineChart>
        <c:grouping val="standard"/>
        <c:varyColors val="0"/>
        <c:ser>
          <c:idx val="1"/>
          <c:order val="0"/>
          <c:tx>
            <c:strRef>
              <c:f>Joonised!$U$28</c:f>
              <c:strCache>
                <c:ptCount val="1"/>
                <c:pt idx="0">
                  <c:v>Tööpuudus</c:v>
                </c:pt>
              </c:strCache>
            </c:strRef>
          </c:tx>
          <c:spPr>
            <a:ln>
              <a:solidFill>
                <a:schemeClr val="accent1"/>
              </a:solidFill>
            </a:ln>
          </c:spPr>
          <c:marker>
            <c:symbol val="none"/>
          </c:marker>
          <c:cat>
            <c:strRef>
              <c:f>Joonised!$V$27:$AV$27</c:f>
              <c:strCache>
                <c:ptCount val="27"/>
                <c:pt idx="0">
                  <c:v>01</c:v>
                </c:pt>
                <c:pt idx="1">
                  <c:v>02</c:v>
                </c:pt>
                <c:pt idx="2">
                  <c:v>03</c:v>
                </c:pt>
                <c:pt idx="3">
                  <c:v>04</c:v>
                </c:pt>
                <c:pt idx="4">
                  <c:v>05</c:v>
                </c:pt>
                <c:pt idx="5">
                  <c:v>06</c:v>
                </c:pt>
                <c:pt idx="6">
                  <c:v>07</c:v>
                </c:pt>
                <c:pt idx="7">
                  <c:v>08</c:v>
                </c:pt>
                <c:pt idx="8">
                  <c:v>09</c:v>
                </c:pt>
                <c:pt idx="9">
                  <c:v>10</c:v>
                </c:pt>
                <c:pt idx="10">
                  <c:v>11</c:v>
                </c:pt>
                <c:pt idx="11">
                  <c:v>12</c:v>
                </c:pt>
                <c:pt idx="12">
                  <c:v> '13</c:v>
                </c:pt>
                <c:pt idx="13">
                  <c:v> '14</c:v>
                </c:pt>
                <c:pt idx="14">
                  <c:v> '15</c:v>
                </c:pt>
                <c:pt idx="15">
                  <c:v> '16</c:v>
                </c:pt>
                <c:pt idx="16">
                  <c:v> '17</c:v>
                </c:pt>
                <c:pt idx="17">
                  <c:v> '18</c:v>
                </c:pt>
                <c:pt idx="18">
                  <c:v> '19</c:v>
                </c:pt>
                <c:pt idx="19">
                  <c:v> '20</c:v>
                </c:pt>
                <c:pt idx="20">
                  <c:v> '21</c:v>
                </c:pt>
                <c:pt idx="21">
                  <c:v> '22</c:v>
                </c:pt>
                <c:pt idx="22">
                  <c:v> '23</c:v>
                </c:pt>
                <c:pt idx="23">
                  <c:v> '24</c:v>
                </c:pt>
                <c:pt idx="24">
                  <c:v> '25</c:v>
                </c:pt>
                <c:pt idx="25">
                  <c:v> '26</c:v>
                </c:pt>
                <c:pt idx="26">
                  <c:v> '27</c:v>
                </c:pt>
              </c:strCache>
            </c:strRef>
          </c:cat>
          <c:val>
            <c:numRef>
              <c:f>Joonised!$V$28:$AV$28</c:f>
              <c:numCache>
                <c:formatCode>General</c:formatCode>
                <c:ptCount val="27"/>
                <c:pt idx="0">
                  <c:v>15.108510000000001</c:v>
                </c:pt>
                <c:pt idx="1">
                  <c:v>13.34468</c:v>
                </c:pt>
                <c:pt idx="2">
                  <c:v>10.530698765992883</c:v>
                </c:pt>
                <c:pt idx="3">
                  <c:v>10.304938177956458</c:v>
                </c:pt>
                <c:pt idx="4">
                  <c:v>8.1488781079442081</c:v>
                </c:pt>
                <c:pt idx="5">
                  <c:v>5.9492245668833768</c:v>
                </c:pt>
                <c:pt idx="6">
                  <c:v>4.5954082187805803</c:v>
                </c:pt>
                <c:pt idx="7">
                  <c:v>5.4584759502792135</c:v>
                </c:pt>
                <c:pt idx="8">
                  <c:v>13.552167109429035</c:v>
                </c:pt>
                <c:pt idx="9">
                  <c:v>16.706995160580753</c:v>
                </c:pt>
                <c:pt idx="10">
                  <c:v>12.315575259829933</c:v>
                </c:pt>
                <c:pt idx="11">
                  <c:v>10.023045688992941</c:v>
                </c:pt>
                <c:pt idx="12">
                  <c:v>8.6350770135646826</c:v>
                </c:pt>
                <c:pt idx="13">
                  <c:v>7.3475440222428103</c:v>
                </c:pt>
                <c:pt idx="14">
                  <c:v>6.1880191751747482</c:v>
                </c:pt>
                <c:pt idx="15">
                  <c:v>6.7551441073301328</c:v>
                </c:pt>
                <c:pt idx="16">
                  <c:v>5.7628331246646365</c:v>
                </c:pt>
                <c:pt idx="17">
                  <c:v>5.3783435846087828</c:v>
                </c:pt>
                <c:pt idx="18">
                  <c:v>4.4739851343624935</c:v>
                </c:pt>
                <c:pt idx="19">
                  <c:v>6.8926231842779826</c:v>
                </c:pt>
                <c:pt idx="20">
                  <c:v>6.2139561707035753</c:v>
                </c:pt>
                <c:pt idx="21">
                  <c:v>5.6027874564459932</c:v>
                </c:pt>
                <c:pt idx="22">
                  <c:v>6.1458753050265749</c:v>
                </c:pt>
                <c:pt idx="23">
                  <c:v>6.6806884292418438</c:v>
                </c:pt>
                <c:pt idx="24">
                  <c:v>6.4388464513009644</c:v>
                </c:pt>
                <c:pt idx="25">
                  <c:v>6.1799422075728456</c:v>
                </c:pt>
                <c:pt idx="26">
                  <c:v>6.0956339902144006</c:v>
                </c:pt>
              </c:numCache>
            </c:numRef>
          </c:val>
          <c:smooth val="1"/>
          <c:extLst>
            <c:ext xmlns:c16="http://schemas.microsoft.com/office/drawing/2014/chart" uri="{C3380CC4-5D6E-409C-BE32-E72D297353CC}">
              <c16:uniqueId val="{00000000-053E-438A-91A3-EAF4BD55F363}"/>
            </c:ext>
          </c:extLst>
        </c:ser>
        <c:ser>
          <c:idx val="2"/>
          <c:order val="1"/>
          <c:tx>
            <c:strRef>
              <c:f>Joonised!$U$29</c:f>
              <c:strCache>
                <c:ptCount val="1"/>
                <c:pt idx="0">
                  <c:v>Loomulik töötus</c:v>
                </c:pt>
              </c:strCache>
            </c:strRef>
          </c:tx>
          <c:spPr>
            <a:ln>
              <a:solidFill>
                <a:schemeClr val="bg1">
                  <a:lumMod val="65000"/>
                </a:schemeClr>
              </a:solidFill>
            </a:ln>
          </c:spPr>
          <c:marker>
            <c:symbol val="none"/>
          </c:marker>
          <c:cat>
            <c:strRef>
              <c:f>Joonised!$V$27:$AV$27</c:f>
              <c:strCache>
                <c:ptCount val="27"/>
                <c:pt idx="0">
                  <c:v>01</c:v>
                </c:pt>
                <c:pt idx="1">
                  <c:v>02</c:v>
                </c:pt>
                <c:pt idx="2">
                  <c:v>03</c:v>
                </c:pt>
                <c:pt idx="3">
                  <c:v>04</c:v>
                </c:pt>
                <c:pt idx="4">
                  <c:v>05</c:v>
                </c:pt>
                <c:pt idx="5">
                  <c:v>06</c:v>
                </c:pt>
                <c:pt idx="6">
                  <c:v>07</c:v>
                </c:pt>
                <c:pt idx="7">
                  <c:v>08</c:v>
                </c:pt>
                <c:pt idx="8">
                  <c:v>09</c:v>
                </c:pt>
                <c:pt idx="9">
                  <c:v>10</c:v>
                </c:pt>
                <c:pt idx="10">
                  <c:v>11</c:v>
                </c:pt>
                <c:pt idx="11">
                  <c:v>12</c:v>
                </c:pt>
                <c:pt idx="12">
                  <c:v> '13</c:v>
                </c:pt>
                <c:pt idx="13">
                  <c:v> '14</c:v>
                </c:pt>
                <c:pt idx="14">
                  <c:v> '15</c:v>
                </c:pt>
                <c:pt idx="15">
                  <c:v> '16</c:v>
                </c:pt>
                <c:pt idx="16">
                  <c:v> '17</c:v>
                </c:pt>
                <c:pt idx="17">
                  <c:v> '18</c:v>
                </c:pt>
                <c:pt idx="18">
                  <c:v> '19</c:v>
                </c:pt>
                <c:pt idx="19">
                  <c:v> '20</c:v>
                </c:pt>
                <c:pt idx="20">
                  <c:v> '21</c:v>
                </c:pt>
                <c:pt idx="21">
                  <c:v> '22</c:v>
                </c:pt>
                <c:pt idx="22">
                  <c:v> '23</c:v>
                </c:pt>
                <c:pt idx="23">
                  <c:v> '24</c:v>
                </c:pt>
                <c:pt idx="24">
                  <c:v> '25</c:v>
                </c:pt>
                <c:pt idx="25">
                  <c:v> '26</c:v>
                </c:pt>
                <c:pt idx="26">
                  <c:v> '27</c:v>
                </c:pt>
              </c:strCache>
            </c:strRef>
          </c:cat>
          <c:val>
            <c:numRef>
              <c:f>Joonised!$V$29:$AV$29</c:f>
              <c:numCache>
                <c:formatCode>General</c:formatCode>
                <c:ptCount val="27"/>
                <c:pt idx="0">
                  <c:v>10.750252</c:v>
                </c:pt>
                <c:pt idx="1">
                  <c:v>10.507885</c:v>
                </c:pt>
                <c:pt idx="2">
                  <c:v>10.330987</c:v>
                </c:pt>
                <c:pt idx="3">
                  <c:v>10.149592</c:v>
                </c:pt>
                <c:pt idx="4">
                  <c:v>9.7677300000000002</c:v>
                </c:pt>
                <c:pt idx="5">
                  <c:v>9.6446640000000006</c:v>
                </c:pt>
                <c:pt idx="6">
                  <c:v>9.6106390000000008</c:v>
                </c:pt>
                <c:pt idx="7">
                  <c:v>9.3155199999999994</c:v>
                </c:pt>
                <c:pt idx="8">
                  <c:v>9.8893129999999996</c:v>
                </c:pt>
                <c:pt idx="9">
                  <c:v>9.7526039999999998</c:v>
                </c:pt>
                <c:pt idx="10">
                  <c:v>9.1034970000000008</c:v>
                </c:pt>
                <c:pt idx="11">
                  <c:v>8.9225410000000007</c:v>
                </c:pt>
                <c:pt idx="12">
                  <c:v>8.670064</c:v>
                </c:pt>
                <c:pt idx="13">
                  <c:v>8.2799750000000003</c:v>
                </c:pt>
                <c:pt idx="14">
                  <c:v>7.85724</c:v>
                </c:pt>
                <c:pt idx="15">
                  <c:v>7.5782100000000003</c:v>
                </c:pt>
                <c:pt idx="16">
                  <c:v>7.0844820000000004</c:v>
                </c:pt>
                <c:pt idx="17">
                  <c:v>6.9043200000000002</c:v>
                </c:pt>
                <c:pt idx="18">
                  <c:v>6.4590529999999999</c:v>
                </c:pt>
                <c:pt idx="19">
                  <c:v>6.5968179999999998</c:v>
                </c:pt>
                <c:pt idx="20">
                  <c:v>6.2230369999999997</c:v>
                </c:pt>
                <c:pt idx="21">
                  <c:v>6.0931160000000002</c:v>
                </c:pt>
                <c:pt idx="22">
                  <c:v>6.2927299999999997</c:v>
                </c:pt>
                <c:pt idx="23">
                  <c:v>6.2793080000000003</c:v>
                </c:pt>
                <c:pt idx="24">
                  <c:v>6.2415310000000002</c:v>
                </c:pt>
                <c:pt idx="25">
                  <c:v>6.2453859999999999</c:v>
                </c:pt>
                <c:pt idx="26">
                  <c:v>6.2539059999999997</c:v>
                </c:pt>
              </c:numCache>
            </c:numRef>
          </c:val>
          <c:smooth val="1"/>
          <c:extLst>
            <c:ext xmlns:c16="http://schemas.microsoft.com/office/drawing/2014/chart" uri="{C3380CC4-5D6E-409C-BE32-E72D297353CC}">
              <c16:uniqueId val="{00000001-053E-438A-91A3-EAF4BD55F363}"/>
            </c:ext>
          </c:extLst>
        </c:ser>
        <c:dLbls>
          <c:showLegendKey val="0"/>
          <c:showVal val="0"/>
          <c:showCatName val="0"/>
          <c:showSerName val="0"/>
          <c:showPercent val="0"/>
          <c:showBubbleSize val="0"/>
        </c:dLbls>
        <c:smooth val="0"/>
        <c:axId val="634323392"/>
        <c:axId val="634324568"/>
      </c:lineChart>
      <c:catAx>
        <c:axId val="634323392"/>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634324568"/>
        <c:crosses val="autoZero"/>
        <c:auto val="1"/>
        <c:lblAlgn val="ctr"/>
        <c:lblOffset val="100"/>
        <c:tickLblSkip val="3"/>
        <c:noMultiLvlLbl val="0"/>
      </c:catAx>
      <c:valAx>
        <c:axId val="634324568"/>
        <c:scaling>
          <c:orientation val="minMax"/>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634323392"/>
        <c:crosses val="autoZero"/>
        <c:crossBetween val="between"/>
        <c:majorUnit val="4"/>
        <c:minorUnit val="2"/>
      </c:valAx>
      <c:spPr>
        <a:ln>
          <a:noFill/>
        </a:ln>
      </c:spPr>
    </c:plotArea>
    <c:legend>
      <c:legendPos val="b"/>
      <c:layout>
        <c:manualLayout>
          <c:xMode val="edge"/>
          <c:yMode val="edge"/>
          <c:x val="3.9031354188834612E-2"/>
          <c:y val="0.79546956630421206"/>
          <c:w val="0.93683597769456906"/>
          <c:h val="0.20453024826814681"/>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511377149284947"/>
        </c:manualLayout>
      </c:layout>
      <c:barChart>
        <c:barDir val="col"/>
        <c:grouping val="stacked"/>
        <c:varyColors val="0"/>
        <c:ser>
          <c:idx val="0"/>
          <c:order val="0"/>
          <c:tx>
            <c:strRef>
              <c:f>Joonised!$L$4</c:f>
              <c:strCache>
                <c:ptCount val="1"/>
                <c:pt idx="0">
                  <c:v>Keskvalitsus</c:v>
                </c:pt>
              </c:strCache>
            </c:strRef>
          </c:tx>
          <c:spPr>
            <a:ln w="31750">
              <a:noFill/>
              <a:prstDash val="solid"/>
            </a:ln>
          </c:spPr>
          <c:invertIfNegative val="0"/>
          <c:dLbls>
            <c:dLbl>
              <c:idx val="5"/>
              <c:layout>
                <c:manualLayout>
                  <c:x val="0.18018018018018017"/>
                  <c:y val="-0.26460656703626334"/>
                </c:manualLayout>
              </c:layout>
              <c:tx>
                <c:rich>
                  <a:bodyPr/>
                  <a:lstStyle/>
                  <a:p>
                    <a:r>
                      <a:rPr lang="en-US"/>
                      <a:t>-3,3%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375-4BE8-AC65-29818AD550D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Joonised!$K$5:$K$17</c:f>
              <c:strCache>
                <c:ptCount val="13"/>
                <c:pt idx="0">
                  <c:v> '15</c:v>
                </c:pt>
                <c:pt idx="1">
                  <c:v> '16</c:v>
                </c:pt>
                <c:pt idx="2">
                  <c:v> '17</c:v>
                </c:pt>
                <c:pt idx="3">
                  <c:v> '18</c:v>
                </c:pt>
                <c:pt idx="4">
                  <c:v> '19</c:v>
                </c:pt>
                <c:pt idx="5">
                  <c:v> '20</c:v>
                </c:pt>
                <c:pt idx="6">
                  <c:v> '21</c:v>
                </c:pt>
                <c:pt idx="7">
                  <c:v> '22</c:v>
                </c:pt>
                <c:pt idx="8">
                  <c:v> '23</c:v>
                </c:pt>
                <c:pt idx="9">
                  <c:v> '24</c:v>
                </c:pt>
                <c:pt idx="10">
                  <c:v> '25</c:v>
                </c:pt>
                <c:pt idx="11">
                  <c:v> '26</c:v>
                </c:pt>
                <c:pt idx="12">
                  <c:v> '27</c:v>
                </c:pt>
              </c:strCache>
            </c:strRef>
          </c:cat>
          <c:val>
            <c:numRef>
              <c:f>Joonised!$L$5:$L$17</c:f>
              <c:numCache>
                <c:formatCode>0.0</c:formatCode>
                <c:ptCount val="13"/>
                <c:pt idx="0">
                  <c:v>-51.2</c:v>
                </c:pt>
                <c:pt idx="1">
                  <c:v>-125.4</c:v>
                </c:pt>
                <c:pt idx="2">
                  <c:v>-110.9</c:v>
                </c:pt>
                <c:pt idx="3" formatCode="General">
                  <c:v>-268.7</c:v>
                </c:pt>
                <c:pt idx="4" formatCode="General">
                  <c:v>-15.2</c:v>
                </c:pt>
                <c:pt idx="5" formatCode="General">
                  <c:v>-1193.3</c:v>
                </c:pt>
                <c:pt idx="6">
                  <c:v>-785.37573522671846</c:v>
                </c:pt>
                <c:pt idx="7">
                  <c:v>-388.16549241116991</c:v>
                </c:pt>
                <c:pt idx="8" formatCode="#,##0">
                  <c:v>-1247.0876736658402</c:v>
                </c:pt>
                <c:pt idx="9" formatCode="#,##0">
                  <c:v>-1084.497164157204</c:v>
                </c:pt>
                <c:pt idx="10" formatCode="#,##0">
                  <c:v>-1555.2391021933477</c:v>
                </c:pt>
                <c:pt idx="11">
                  <c:v>-1662.0887199650263</c:v>
                </c:pt>
                <c:pt idx="12">
                  <c:v>-1809.5033563198176</c:v>
                </c:pt>
              </c:numCache>
            </c:numRef>
          </c:val>
          <c:extLst>
            <c:ext xmlns:c16="http://schemas.microsoft.com/office/drawing/2014/chart" uri="{C3380CC4-5D6E-409C-BE32-E72D297353CC}">
              <c16:uniqueId val="{00000001-A375-4BE8-AC65-29818AD550D7}"/>
            </c:ext>
          </c:extLst>
        </c:ser>
        <c:ser>
          <c:idx val="1"/>
          <c:order val="1"/>
          <c:tx>
            <c:strRef>
              <c:f>Joonised!$M$4</c:f>
              <c:strCache>
                <c:ptCount val="1"/>
                <c:pt idx="0">
                  <c:v>Sotsiaalkindlustusfondid</c:v>
                </c:pt>
              </c:strCache>
            </c:strRef>
          </c:tx>
          <c:spPr>
            <a:ln w="31750">
              <a:noFill/>
              <a:prstDash val="solid"/>
            </a:ln>
          </c:spPr>
          <c:invertIfNegative val="0"/>
          <c:cat>
            <c:strRef>
              <c:f>Joonised!$K$5:$K$17</c:f>
              <c:strCache>
                <c:ptCount val="13"/>
                <c:pt idx="0">
                  <c:v> '15</c:v>
                </c:pt>
                <c:pt idx="1">
                  <c:v> '16</c:v>
                </c:pt>
                <c:pt idx="2">
                  <c:v> '17</c:v>
                </c:pt>
                <c:pt idx="3">
                  <c:v> '18</c:v>
                </c:pt>
                <c:pt idx="4">
                  <c:v> '19</c:v>
                </c:pt>
                <c:pt idx="5">
                  <c:v> '20</c:v>
                </c:pt>
                <c:pt idx="6">
                  <c:v> '21</c:v>
                </c:pt>
                <c:pt idx="7">
                  <c:v> '22</c:v>
                </c:pt>
                <c:pt idx="8">
                  <c:v> '23</c:v>
                </c:pt>
                <c:pt idx="9">
                  <c:v> '24</c:v>
                </c:pt>
                <c:pt idx="10">
                  <c:v> '25</c:v>
                </c:pt>
                <c:pt idx="11">
                  <c:v> '26</c:v>
                </c:pt>
                <c:pt idx="12">
                  <c:v> '27</c:v>
                </c:pt>
              </c:strCache>
            </c:strRef>
          </c:cat>
          <c:val>
            <c:numRef>
              <c:f>Joonised!$M$5:$M$17</c:f>
              <c:numCache>
                <c:formatCode>0.0</c:formatCode>
                <c:ptCount val="13"/>
                <c:pt idx="0">
                  <c:v>23.4</c:v>
                </c:pt>
                <c:pt idx="1">
                  <c:v>9.1</c:v>
                </c:pt>
                <c:pt idx="2">
                  <c:v>56.4</c:v>
                </c:pt>
                <c:pt idx="3" formatCode="General">
                  <c:v>66.599999999999994</c:v>
                </c:pt>
                <c:pt idx="4" formatCode="General">
                  <c:v>74.2</c:v>
                </c:pt>
                <c:pt idx="5" formatCode="General">
                  <c:v>-317.89999999999998</c:v>
                </c:pt>
                <c:pt idx="6">
                  <c:v>136.34021184532185</c:v>
                </c:pt>
                <c:pt idx="7">
                  <c:v>157.1</c:v>
                </c:pt>
                <c:pt idx="8" formatCode="#,##0">
                  <c:v>95.94944113654995</c:v>
                </c:pt>
                <c:pt idx="9" formatCode="#,##0">
                  <c:v>15.706016389165521</c:v>
                </c:pt>
                <c:pt idx="10" formatCode="#,##0">
                  <c:v>-105.92521250411487</c:v>
                </c:pt>
                <c:pt idx="11">
                  <c:v>-137.22024186363981</c:v>
                </c:pt>
                <c:pt idx="12">
                  <c:v>-187.283800842582</c:v>
                </c:pt>
              </c:numCache>
            </c:numRef>
          </c:val>
          <c:extLst>
            <c:ext xmlns:c16="http://schemas.microsoft.com/office/drawing/2014/chart" uri="{C3380CC4-5D6E-409C-BE32-E72D297353CC}">
              <c16:uniqueId val="{00000002-A375-4BE8-AC65-29818AD550D7}"/>
            </c:ext>
          </c:extLst>
        </c:ser>
        <c:ser>
          <c:idx val="2"/>
          <c:order val="2"/>
          <c:tx>
            <c:strRef>
              <c:f>Joonised!$N$4</c:f>
              <c:strCache>
                <c:ptCount val="1"/>
                <c:pt idx="0">
                  <c:v>KOV</c:v>
                </c:pt>
              </c:strCache>
            </c:strRef>
          </c:tx>
          <c:invertIfNegative val="0"/>
          <c:cat>
            <c:strRef>
              <c:f>Joonised!$K$5:$K$17</c:f>
              <c:strCache>
                <c:ptCount val="13"/>
                <c:pt idx="0">
                  <c:v> '15</c:v>
                </c:pt>
                <c:pt idx="1">
                  <c:v> '16</c:v>
                </c:pt>
                <c:pt idx="2">
                  <c:v> '17</c:v>
                </c:pt>
                <c:pt idx="3">
                  <c:v> '18</c:v>
                </c:pt>
                <c:pt idx="4">
                  <c:v> '19</c:v>
                </c:pt>
                <c:pt idx="5">
                  <c:v> '20</c:v>
                </c:pt>
                <c:pt idx="6">
                  <c:v> '21</c:v>
                </c:pt>
                <c:pt idx="7">
                  <c:v> '22</c:v>
                </c:pt>
                <c:pt idx="8">
                  <c:v> '23</c:v>
                </c:pt>
                <c:pt idx="9">
                  <c:v> '24</c:v>
                </c:pt>
                <c:pt idx="10">
                  <c:v> '25</c:v>
                </c:pt>
                <c:pt idx="11">
                  <c:v> '26</c:v>
                </c:pt>
                <c:pt idx="12">
                  <c:v> '27</c:v>
                </c:pt>
              </c:strCache>
            </c:strRef>
          </c:cat>
          <c:val>
            <c:numRef>
              <c:f>Joonised!$N$5:$N$17</c:f>
              <c:numCache>
                <c:formatCode>0.0</c:formatCode>
                <c:ptCount val="13"/>
                <c:pt idx="0">
                  <c:v>51.2</c:v>
                </c:pt>
                <c:pt idx="1">
                  <c:v>26.7</c:v>
                </c:pt>
                <c:pt idx="2">
                  <c:v>-58.8</c:v>
                </c:pt>
                <c:pt idx="3" formatCode="General">
                  <c:v>58.6</c:v>
                </c:pt>
                <c:pt idx="4" formatCode="General">
                  <c:v>-25.2</c:v>
                </c:pt>
                <c:pt idx="5" formatCode="General">
                  <c:v>9.4</c:v>
                </c:pt>
                <c:pt idx="6">
                  <c:v>-107.44454278008016</c:v>
                </c:pt>
                <c:pt idx="7">
                  <c:v>-104.3</c:v>
                </c:pt>
                <c:pt idx="8" formatCode="#,##0">
                  <c:v>-124</c:v>
                </c:pt>
                <c:pt idx="9" formatCode="#,##0">
                  <c:v>-135</c:v>
                </c:pt>
                <c:pt idx="10" formatCode="#,##0">
                  <c:v>-136</c:v>
                </c:pt>
                <c:pt idx="11">
                  <c:v>-109</c:v>
                </c:pt>
                <c:pt idx="12">
                  <c:v>-118</c:v>
                </c:pt>
              </c:numCache>
            </c:numRef>
          </c:val>
          <c:extLst>
            <c:ext xmlns:c16="http://schemas.microsoft.com/office/drawing/2014/chart" uri="{C3380CC4-5D6E-409C-BE32-E72D297353CC}">
              <c16:uniqueId val="{00000003-A375-4BE8-AC65-29818AD550D7}"/>
            </c:ext>
          </c:extLst>
        </c:ser>
        <c:dLbls>
          <c:showLegendKey val="0"/>
          <c:showVal val="0"/>
          <c:showCatName val="0"/>
          <c:showSerName val="0"/>
          <c:showPercent val="0"/>
          <c:showBubbleSize val="0"/>
        </c:dLbls>
        <c:gapWidth val="50"/>
        <c:overlap val="100"/>
        <c:axId val="430178040"/>
        <c:axId val="430178432"/>
      </c:barChart>
      <c:lineChart>
        <c:grouping val="standard"/>
        <c:varyColors val="0"/>
        <c:ser>
          <c:idx val="3"/>
          <c:order val="3"/>
          <c:tx>
            <c:strRef>
              <c:f>Joonised!$O$4</c:f>
              <c:strCache>
                <c:ptCount val="1"/>
                <c:pt idx="0">
                  <c:v>Nom. positsioon </c:v>
                </c:pt>
              </c:strCache>
            </c:strRef>
          </c:tx>
          <c:spPr>
            <a:ln>
              <a:solidFill>
                <a:schemeClr val="tx1"/>
              </a:solidFill>
            </a:ln>
          </c:spPr>
          <c:marker>
            <c:symbol val="none"/>
          </c:marker>
          <c:cat>
            <c:strRef>
              <c:f>Joonised!$K$5:$K$17</c:f>
              <c:strCache>
                <c:ptCount val="13"/>
                <c:pt idx="0">
                  <c:v> '15</c:v>
                </c:pt>
                <c:pt idx="1">
                  <c:v> '16</c:v>
                </c:pt>
                <c:pt idx="2">
                  <c:v> '17</c:v>
                </c:pt>
                <c:pt idx="3">
                  <c:v> '18</c:v>
                </c:pt>
                <c:pt idx="4">
                  <c:v> '19</c:v>
                </c:pt>
                <c:pt idx="5">
                  <c:v> '20</c:v>
                </c:pt>
                <c:pt idx="6">
                  <c:v> '21</c:v>
                </c:pt>
                <c:pt idx="7">
                  <c:v> '22</c:v>
                </c:pt>
                <c:pt idx="8">
                  <c:v> '23</c:v>
                </c:pt>
                <c:pt idx="9">
                  <c:v> '24</c:v>
                </c:pt>
                <c:pt idx="10">
                  <c:v> '25</c:v>
                </c:pt>
                <c:pt idx="11">
                  <c:v> '26</c:v>
                </c:pt>
                <c:pt idx="12">
                  <c:v> '27</c:v>
                </c:pt>
              </c:strCache>
            </c:strRef>
          </c:cat>
          <c:val>
            <c:numRef>
              <c:f>Joonised!$O$5:$O$17</c:f>
              <c:numCache>
                <c:formatCode>0.0%</c:formatCode>
                <c:ptCount val="13"/>
                <c:pt idx="0">
                  <c:v>7.0611410127390548E-4</c:v>
                </c:pt>
                <c:pt idx="1">
                  <c:v>-2.9259298701940807E-3</c:v>
                </c:pt>
                <c:pt idx="2">
                  <c:v>-4.7537929645542435E-3</c:v>
                </c:pt>
                <c:pt idx="3">
                  <c:v>-5.5336608540733139E-3</c:v>
                </c:pt>
                <c:pt idx="4">
                  <c:v>1.2173731392739701E-3</c:v>
                </c:pt>
                <c:pt idx="5">
                  <c:v>-5.4680502457673391E-2</c:v>
                </c:pt>
                <c:pt idx="6">
                  <c:v>-2.4057321414966394E-2</c:v>
                </c:pt>
                <c:pt idx="7">
                  <c:v>-9.2690026480780167E-3</c:v>
                </c:pt>
                <c:pt idx="8">
                  <c:v>-3.2880078562812227E-2</c:v>
                </c:pt>
                <c:pt idx="9">
                  <c:v>-2.9051376656560716E-2</c:v>
                </c:pt>
                <c:pt idx="10">
                  <c:v>-4.1092130209156565E-2</c:v>
                </c:pt>
                <c:pt idx="11">
                  <c:v>-4.1639768745306817E-2</c:v>
                </c:pt>
                <c:pt idx="12">
                  <c:v>-4.4179559563014947E-2</c:v>
                </c:pt>
              </c:numCache>
            </c:numRef>
          </c:val>
          <c:smooth val="0"/>
          <c:extLst>
            <c:ext xmlns:c16="http://schemas.microsoft.com/office/drawing/2014/chart" uri="{C3380CC4-5D6E-409C-BE32-E72D297353CC}">
              <c16:uniqueId val="{00000004-A375-4BE8-AC65-29818AD550D7}"/>
            </c:ext>
          </c:extLst>
        </c:ser>
        <c:dLbls>
          <c:showLegendKey val="0"/>
          <c:showVal val="0"/>
          <c:showCatName val="0"/>
          <c:showSerName val="0"/>
          <c:showPercent val="0"/>
          <c:showBubbleSize val="0"/>
        </c:dLbls>
        <c:marker val="1"/>
        <c:smooth val="0"/>
        <c:axId val="430136464"/>
        <c:axId val="430178824"/>
      </c:lineChart>
      <c:catAx>
        <c:axId val="430178040"/>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430178432"/>
        <c:crosses val="autoZero"/>
        <c:auto val="1"/>
        <c:lblAlgn val="ctr"/>
        <c:lblOffset val="100"/>
        <c:noMultiLvlLbl val="0"/>
      </c:catAx>
      <c:valAx>
        <c:axId val="430178432"/>
        <c:scaling>
          <c:orientation val="minMax"/>
          <c:max val="200"/>
          <c:min val="-2200"/>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430178040"/>
        <c:crosses val="autoZero"/>
        <c:crossBetween val="between"/>
        <c:majorUnit val="200"/>
        <c:minorUnit val="50"/>
      </c:valAx>
      <c:valAx>
        <c:axId val="430178824"/>
        <c:scaling>
          <c:orientation val="minMax"/>
          <c:max val="1.0000000000000002E-2"/>
          <c:min val="-0.11000000000000001"/>
        </c:scaling>
        <c:delete val="0"/>
        <c:axPos val="r"/>
        <c:numFmt formatCode="0%" sourceLinked="0"/>
        <c:majorTickMark val="in"/>
        <c:minorTickMark val="none"/>
        <c:tickLblPos val="nextTo"/>
        <c:spPr>
          <a:ln w="2540">
            <a:solidFill>
              <a:schemeClr val="tx1"/>
            </a:solidFill>
          </a:ln>
        </c:spPr>
        <c:crossAx val="430136464"/>
        <c:crosses val="max"/>
        <c:crossBetween val="between"/>
        <c:majorUnit val="1.0000000000000002E-2"/>
        <c:minorUnit val="5.0000000000000114E-3"/>
      </c:valAx>
      <c:catAx>
        <c:axId val="430136464"/>
        <c:scaling>
          <c:orientation val="minMax"/>
        </c:scaling>
        <c:delete val="1"/>
        <c:axPos val="b"/>
        <c:numFmt formatCode="General" sourceLinked="1"/>
        <c:majorTickMark val="out"/>
        <c:minorTickMark val="none"/>
        <c:tickLblPos val="none"/>
        <c:crossAx val="430178824"/>
        <c:crosses val="autoZero"/>
        <c:auto val="1"/>
        <c:lblAlgn val="ctr"/>
        <c:lblOffset val="100"/>
        <c:noMultiLvlLbl val="0"/>
      </c:catAx>
      <c:spPr>
        <a:ln>
          <a:noFill/>
        </a:ln>
      </c:spPr>
    </c:plotArea>
    <c:legend>
      <c:legendPos val="b"/>
      <c:layout>
        <c:manualLayout>
          <c:xMode val="edge"/>
          <c:yMode val="edge"/>
          <c:x val="0"/>
          <c:y val="0.83247897584230546"/>
          <c:w val="1"/>
          <c:h val="0.16697338120091321"/>
        </c:manualLayout>
      </c:layout>
      <c:overlay val="0"/>
    </c:legend>
    <c:plotVisOnly val="1"/>
    <c:dispBlanksAs val="gap"/>
    <c:showDLblsOverMax val="0"/>
  </c:chart>
  <c:spPr>
    <a:noFill/>
    <a:ln>
      <a:noFill/>
    </a:ln>
  </c:spPr>
  <c:txPr>
    <a:bodyPr/>
    <a:lstStyle/>
    <a:p>
      <a:pPr>
        <a:defRPr sz="830" b="0" i="0" u="none" strike="noStrike" baseline="0">
          <a:solidFill>
            <a:srgbClr val="000000"/>
          </a:solidFill>
          <a:latin typeface="Segoe UI Light" panose="020B0502040204020203" pitchFamily="34" charset="0"/>
          <a:ea typeface="Roboto Condensed" panose="02000000000000000000" pitchFamily="2" charset="0"/>
          <a:cs typeface="Segoe UI Light" panose="020B0502040204020203" pitchFamily="34" charset="0"/>
        </a:defRPr>
      </a:pPr>
      <a:endParaRPr lang="et-EE"/>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93968868864656"/>
          <c:y val="4.7223375280257655E-2"/>
          <c:w val="0.84639739217090004"/>
          <c:h val="0.62386368370620349"/>
        </c:manualLayout>
      </c:layout>
      <c:lineChart>
        <c:grouping val="standard"/>
        <c:varyColors val="0"/>
        <c:ser>
          <c:idx val="0"/>
          <c:order val="0"/>
          <c:tx>
            <c:strRef>
              <c:f>Joonised!$K$19</c:f>
              <c:strCache>
                <c:ptCount val="1"/>
                <c:pt idx="0">
                  <c:v>SKP lõhe (% SKPst)</c:v>
                </c:pt>
              </c:strCache>
            </c:strRef>
          </c:tx>
          <c:marker>
            <c:symbol val="diamond"/>
            <c:size val="5"/>
          </c:marker>
          <c:cat>
            <c:strRef>
              <c:f>Joonised!$L$18:$W$18</c:f>
              <c:strCache>
                <c:ptCount val="12"/>
                <c:pt idx="0">
                  <c:v> '16</c:v>
                </c:pt>
                <c:pt idx="1">
                  <c:v> '17</c:v>
                </c:pt>
                <c:pt idx="2">
                  <c:v> '18</c:v>
                </c:pt>
                <c:pt idx="3">
                  <c:v> '19</c:v>
                </c:pt>
                <c:pt idx="4">
                  <c:v> '20</c:v>
                </c:pt>
                <c:pt idx="5">
                  <c:v> '21</c:v>
                </c:pt>
                <c:pt idx="6">
                  <c:v> '22</c:v>
                </c:pt>
                <c:pt idx="7">
                  <c:v> '23</c:v>
                </c:pt>
                <c:pt idx="8">
                  <c:v> '24</c:v>
                </c:pt>
                <c:pt idx="9">
                  <c:v> '25</c:v>
                </c:pt>
                <c:pt idx="10">
                  <c:v> '26</c:v>
                </c:pt>
                <c:pt idx="11">
                  <c:v> '27</c:v>
                </c:pt>
              </c:strCache>
            </c:strRef>
          </c:cat>
          <c:val>
            <c:numRef>
              <c:f>Joonised!$L$19:$W$19</c:f>
              <c:numCache>
                <c:formatCode>0.0</c:formatCode>
                <c:ptCount val="12"/>
                <c:pt idx="0">
                  <c:v>-0.28326079331660869</c:v>
                </c:pt>
                <c:pt idx="1">
                  <c:v>1.8601639082103769</c:v>
                </c:pt>
                <c:pt idx="2">
                  <c:v>1.4918671655351321</c:v>
                </c:pt>
                <c:pt idx="3">
                  <c:v>1.255897836209052</c:v>
                </c:pt>
                <c:pt idx="4">
                  <c:v>-2.4240321508712359</c:v>
                </c:pt>
                <c:pt idx="5">
                  <c:v>2.1660500449046438</c:v>
                </c:pt>
                <c:pt idx="6">
                  <c:v>-0.83361527842653604</c:v>
                </c:pt>
                <c:pt idx="7">
                  <c:v>-4.3661396896472846</c:v>
                </c:pt>
                <c:pt idx="8">
                  <c:v>-3.331256110282355</c:v>
                </c:pt>
                <c:pt idx="9">
                  <c:v>-1.8283744939797451</c:v>
                </c:pt>
                <c:pt idx="10">
                  <c:v>-0.92674002541759393</c:v>
                </c:pt>
                <c:pt idx="11">
                  <c:v>-0.31030309030023462</c:v>
                </c:pt>
              </c:numCache>
            </c:numRef>
          </c:val>
          <c:smooth val="1"/>
          <c:extLst>
            <c:ext xmlns:c16="http://schemas.microsoft.com/office/drawing/2014/chart" uri="{C3380CC4-5D6E-409C-BE32-E72D297353CC}">
              <c16:uniqueId val="{00000000-5FB2-4829-8686-BBC4807CDEFE}"/>
            </c:ext>
          </c:extLst>
        </c:ser>
        <c:ser>
          <c:idx val="1"/>
          <c:order val="1"/>
          <c:tx>
            <c:strRef>
              <c:f>Joonised!$K$20</c:f>
              <c:strCache>
                <c:ptCount val="1"/>
                <c:pt idx="0">
                  <c:v>VS struktuurne positsioon (% SKPst)</c:v>
                </c:pt>
              </c:strCache>
            </c:strRef>
          </c:tx>
          <c:marker>
            <c:symbol val="square"/>
            <c:size val="5"/>
            <c:spPr>
              <a:ln w="6350"/>
            </c:spPr>
          </c:marker>
          <c:cat>
            <c:strRef>
              <c:f>Joonised!$L$18:$W$18</c:f>
              <c:strCache>
                <c:ptCount val="12"/>
                <c:pt idx="0">
                  <c:v> '16</c:v>
                </c:pt>
                <c:pt idx="1">
                  <c:v> '17</c:v>
                </c:pt>
                <c:pt idx="2">
                  <c:v> '18</c:v>
                </c:pt>
                <c:pt idx="3">
                  <c:v> '19</c:v>
                </c:pt>
                <c:pt idx="4">
                  <c:v> '20</c:v>
                </c:pt>
                <c:pt idx="5">
                  <c:v> '21</c:v>
                </c:pt>
                <c:pt idx="6">
                  <c:v> '22</c:v>
                </c:pt>
                <c:pt idx="7">
                  <c:v> '23</c:v>
                </c:pt>
                <c:pt idx="8">
                  <c:v> '24</c:v>
                </c:pt>
                <c:pt idx="9">
                  <c:v> '25</c:v>
                </c:pt>
                <c:pt idx="10">
                  <c:v> '26</c:v>
                </c:pt>
                <c:pt idx="11">
                  <c:v> '27</c:v>
                </c:pt>
              </c:strCache>
            </c:strRef>
          </c:cat>
          <c:val>
            <c:numRef>
              <c:f>Joonised!$L$20:$W$20</c:f>
              <c:numCache>
                <c:formatCode>0.0</c:formatCode>
                <c:ptCount val="12"/>
                <c:pt idx="0">
                  <c:v>1.297098486049475E-2</c:v>
                </c:pt>
                <c:pt idx="1">
                  <c:v>-1.0294554816911932</c:v>
                </c:pt>
                <c:pt idx="2">
                  <c:v>-1.1623416172597689</c:v>
                </c:pt>
                <c:pt idx="3">
                  <c:v>-0.41395119330475821</c:v>
                </c:pt>
                <c:pt idx="4">
                  <c:v>-4.2973122813481055</c:v>
                </c:pt>
                <c:pt idx="5">
                  <c:v>-4.4281695380320691</c:v>
                </c:pt>
                <c:pt idx="6">
                  <c:v>-0.76350947732554741</c:v>
                </c:pt>
                <c:pt idx="7">
                  <c:v>-1.1660639671126423</c:v>
                </c:pt>
                <c:pt idx="8">
                  <c:v>-1.2861471960588469</c:v>
                </c:pt>
                <c:pt idx="9">
                  <c:v>-3.2206230168415004</c:v>
                </c:pt>
                <c:pt idx="10">
                  <c:v>-3.7135812221777309</c:v>
                </c:pt>
                <c:pt idx="11">
                  <c:v>-4.267148654415581</c:v>
                </c:pt>
              </c:numCache>
            </c:numRef>
          </c:val>
          <c:smooth val="1"/>
          <c:extLst>
            <c:ext xmlns:c16="http://schemas.microsoft.com/office/drawing/2014/chart" uri="{C3380CC4-5D6E-409C-BE32-E72D297353CC}">
              <c16:uniqueId val="{00000001-5FB2-4829-8686-BBC4807CDEFE}"/>
            </c:ext>
          </c:extLst>
        </c:ser>
        <c:dLbls>
          <c:showLegendKey val="0"/>
          <c:showVal val="0"/>
          <c:showCatName val="0"/>
          <c:showSerName val="0"/>
          <c:showPercent val="0"/>
          <c:showBubbleSize val="0"/>
        </c:dLbls>
        <c:marker val="1"/>
        <c:smooth val="0"/>
        <c:axId val="430137248"/>
        <c:axId val="430137640"/>
      </c:lineChart>
      <c:catAx>
        <c:axId val="430137248"/>
        <c:scaling>
          <c:orientation val="minMax"/>
        </c:scaling>
        <c:delete val="0"/>
        <c:axPos val="b"/>
        <c:numFmt formatCode="0" sourceLinked="0"/>
        <c:majorTickMark val="out"/>
        <c:minorTickMark val="none"/>
        <c:tickLblPos val="low"/>
        <c:spPr>
          <a:ln w="3175">
            <a:solidFill>
              <a:sysClr val="windowText" lastClr="000000"/>
            </a:solidFill>
          </a:ln>
        </c:spPr>
        <c:txPr>
          <a:bodyPr rot="0" vert="horz"/>
          <a:lstStyle/>
          <a:p>
            <a:pPr>
              <a:defRPr/>
            </a:pPr>
            <a:endParaRPr lang="et-EE"/>
          </a:p>
        </c:txPr>
        <c:crossAx val="430137640"/>
        <c:crosses val="autoZero"/>
        <c:auto val="1"/>
        <c:lblAlgn val="ctr"/>
        <c:lblOffset val="100"/>
        <c:noMultiLvlLbl val="0"/>
      </c:catAx>
      <c:valAx>
        <c:axId val="430137640"/>
        <c:scaling>
          <c:orientation val="minMax"/>
          <c:max val="6"/>
          <c:min val="-8"/>
        </c:scaling>
        <c:delete val="0"/>
        <c:axPos val="l"/>
        <c:majorGridlines>
          <c:spPr>
            <a:ln w="3175">
              <a:solidFill>
                <a:schemeClr val="bg1">
                  <a:lumMod val="75000"/>
                </a:schemeClr>
              </a:solidFill>
              <a:prstDash val="dash"/>
            </a:ln>
          </c:spPr>
        </c:majorGridlines>
        <c:numFmt formatCode="#,##0" sourceLinked="0"/>
        <c:majorTickMark val="in"/>
        <c:minorTickMark val="none"/>
        <c:tickLblPos val="nextTo"/>
        <c:spPr>
          <a:ln w="3175">
            <a:solidFill>
              <a:sysClr val="windowText" lastClr="000000"/>
            </a:solidFill>
          </a:ln>
        </c:spPr>
        <c:crossAx val="430137248"/>
        <c:crosses val="autoZero"/>
        <c:crossBetween val="between"/>
        <c:majorUnit val="2"/>
      </c:valAx>
      <c:spPr>
        <a:ln w="3175">
          <a:noFill/>
        </a:ln>
      </c:spPr>
    </c:plotArea>
    <c:legend>
      <c:legendPos val="b"/>
      <c:layout>
        <c:manualLayout>
          <c:xMode val="edge"/>
          <c:yMode val="edge"/>
          <c:x val="0.18288664785885722"/>
          <c:y val="0.78454359871682533"/>
          <c:w val="0.73226591996856005"/>
          <c:h val="0.17577386160063319"/>
        </c:manualLayout>
      </c:layout>
      <c:overlay val="0"/>
    </c:legend>
    <c:plotVisOnly val="1"/>
    <c:dispBlanksAs val="zero"/>
    <c:showDLblsOverMax val="0"/>
  </c:chart>
  <c:spPr>
    <a:ln>
      <a:noFill/>
    </a:ln>
  </c:spPr>
  <c:txPr>
    <a:bodyPr/>
    <a:lstStyle/>
    <a:p>
      <a:pPr>
        <a:defRPr sz="800">
          <a:latin typeface="Segoe UI Light" panose="020B0502040204020203" pitchFamily="34" charset="0"/>
          <a:ea typeface="Roboto Condensed" panose="02000000000000000000" pitchFamily="2" charset="0"/>
          <a:cs typeface="Segoe UI Light" panose="020B0502040204020203" pitchFamily="34" charset="0"/>
        </a:defRPr>
      </a:pPr>
      <a:endParaRPr lang="et-EE"/>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Joonised!$O$955</c:f>
              <c:strCache>
                <c:ptCount val="1"/>
                <c:pt idx="0">
                  <c:v>RE FITM laekumine</c:v>
                </c:pt>
              </c:strCache>
            </c:strRef>
          </c:tx>
          <c:spPr>
            <a:ln w="28575" cap="rnd">
              <a:solidFill>
                <a:schemeClr val="accent1"/>
              </a:solidFill>
              <a:round/>
            </a:ln>
            <a:effectLst/>
          </c:spPr>
          <c:marker>
            <c:symbol val="none"/>
          </c:marker>
          <c:dLbls>
            <c:dLbl>
              <c:idx val="19"/>
              <c:layout>
                <c:manualLayout>
                  <c:x val="-3.0844999989071802E-3"/>
                  <c:y val="-3.7619120161140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CEF-4E32-8CDE-180DFBC87A37}"/>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Segoe UI Light" panose="020B0502040204020203" pitchFamily="34" charset="0"/>
                    <a:ea typeface="+mn-ea"/>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Joonised!$N$956:$N$975</c:f>
              <c:strCache>
                <c:ptCount val="20"/>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strCache>
            </c:strRef>
          </c:cat>
          <c:val>
            <c:numRef>
              <c:f>Joonised!$O$956:$O$975</c:f>
              <c:numCache>
                <c:formatCode>#,##0</c:formatCode>
                <c:ptCount val="20"/>
                <c:pt idx="0">
                  <c:v>276.65433493346796</c:v>
                </c:pt>
                <c:pt idx="1">
                  <c:v>154.46217845730064</c:v>
                </c:pt>
                <c:pt idx="2">
                  <c:v>191.72838632162896</c:v>
                </c:pt>
                <c:pt idx="3">
                  <c:v>227.32111742000001</c:v>
                </c:pt>
                <c:pt idx="4">
                  <c:v>266.17757781999995</c:v>
                </c:pt>
                <c:pt idx="5">
                  <c:v>306.85818351</c:v>
                </c:pt>
                <c:pt idx="6">
                  <c:v>345.59800203999987</c:v>
                </c:pt>
                <c:pt idx="7">
                  <c:v>329.94144027999999</c:v>
                </c:pt>
                <c:pt idx="8">
                  <c:v>348.33616975000007</c:v>
                </c:pt>
                <c:pt idx="9">
                  <c:v>360.92488304</c:v>
                </c:pt>
                <c:pt idx="10">
                  <c:v>311.12369880000017</c:v>
                </c:pt>
                <c:pt idx="11">
                  <c:v>316.22072918000003</c:v>
                </c:pt>
                <c:pt idx="12">
                  <c:v>390.02602528</c:v>
                </c:pt>
                <c:pt idx="13">
                  <c:v>791.15557775999991</c:v>
                </c:pt>
                <c:pt idx="14">
                  <c:v>753.75274997999986</c:v>
                </c:pt>
                <c:pt idx="15">
                  <c:v>723</c:v>
                </c:pt>
                <c:pt idx="16">
                  <c:v>614</c:v>
                </c:pt>
                <c:pt idx="17">
                  <c:v>214</c:v>
                </c:pt>
                <c:pt idx="18">
                  <c:v>415</c:v>
                </c:pt>
                <c:pt idx="19">
                  <c:v>445</c:v>
                </c:pt>
              </c:numCache>
            </c:numRef>
          </c:val>
          <c:smooth val="0"/>
          <c:extLst>
            <c:ext xmlns:c16="http://schemas.microsoft.com/office/drawing/2014/chart" uri="{C3380CC4-5D6E-409C-BE32-E72D297353CC}">
              <c16:uniqueId val="{00000001-ECEF-4E32-8CDE-180DFBC87A37}"/>
            </c:ext>
          </c:extLst>
        </c:ser>
        <c:dLbls>
          <c:showLegendKey val="0"/>
          <c:showVal val="0"/>
          <c:showCatName val="0"/>
          <c:showSerName val="0"/>
          <c:showPercent val="0"/>
          <c:showBubbleSize val="0"/>
        </c:dLbls>
        <c:smooth val="0"/>
        <c:axId val="446915871"/>
        <c:axId val="546162879"/>
      </c:lineChart>
      <c:catAx>
        <c:axId val="446915871"/>
        <c:scaling>
          <c:orientation val="minMax"/>
        </c:scaling>
        <c:delete val="0"/>
        <c:axPos val="b"/>
        <c:numFmt formatCode="General" sourceLinked="1"/>
        <c:majorTickMark val="none"/>
        <c:minorTickMark val="none"/>
        <c:tickLblPos val="nextTo"/>
        <c:spPr>
          <a:noFill/>
          <a:ln w="2540"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Light" panose="020B0502040204020203" pitchFamily="34" charset="0"/>
                <a:ea typeface="+mn-ea"/>
                <a:cs typeface="Segoe UI Light" panose="020B0502040204020203" pitchFamily="34" charset="0"/>
              </a:defRPr>
            </a:pPr>
            <a:endParaRPr lang="et-EE"/>
          </a:p>
        </c:txPr>
        <c:crossAx val="546162879"/>
        <c:crosses val="autoZero"/>
        <c:auto val="1"/>
        <c:lblAlgn val="ctr"/>
        <c:lblOffset val="100"/>
        <c:noMultiLvlLbl val="0"/>
      </c:catAx>
      <c:valAx>
        <c:axId val="546162879"/>
        <c:scaling>
          <c:orientation val="minMax"/>
          <c:max val="80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2540">
            <a:solidFill>
              <a:sysClr val="windowText" lastClr="000000"/>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Light" panose="020B0502040204020203" pitchFamily="34" charset="0"/>
                <a:ea typeface="+mn-ea"/>
                <a:cs typeface="Segoe UI Light" panose="020B0502040204020203" pitchFamily="34" charset="0"/>
              </a:defRPr>
            </a:pPr>
            <a:endParaRPr lang="et-EE"/>
          </a:p>
        </c:txPr>
        <c:crossAx val="446915871"/>
        <c:crosses val="autoZero"/>
        <c:crossBetween val="between"/>
        <c:majorUnit val="1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Segoe UI Light" panose="020B0502040204020203" pitchFamily="34" charset="0"/>
          <a:cs typeface="Segoe UI Light" panose="020B0502040204020203" pitchFamily="34" charset="0"/>
        </a:defRPr>
      </a:pPr>
      <a:endParaRPr lang="et-EE"/>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84423284417860001"/>
          <c:h val="0.59827044508840022"/>
        </c:manualLayout>
      </c:layout>
      <c:lineChart>
        <c:grouping val="standard"/>
        <c:varyColors val="0"/>
        <c:ser>
          <c:idx val="0"/>
          <c:order val="0"/>
          <c:tx>
            <c:strRef>
              <c:f>Joonised!$L$752</c:f>
              <c:strCache>
                <c:ptCount val="1"/>
                <c:pt idx="0">
                  <c:v>Suveprognoos</c:v>
                </c:pt>
              </c:strCache>
            </c:strRef>
          </c:tx>
          <c:spPr>
            <a:ln w="31750">
              <a:solidFill>
                <a:schemeClr val="accent1"/>
              </a:solidFill>
            </a:ln>
          </c:spPr>
          <c:marker>
            <c:symbol val="circle"/>
            <c:size val="3"/>
            <c:spPr>
              <a:solidFill>
                <a:schemeClr val="bg1"/>
              </a:solidFill>
              <a:ln>
                <a:solidFill>
                  <a:schemeClr val="accent1"/>
                </a:solidFill>
              </a:ln>
            </c:spPr>
          </c:marker>
          <c:cat>
            <c:strRef>
              <c:f>Joonised!$K$753:$K$772</c:f>
              <c:strCache>
                <c:ptCount val="20"/>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strCache>
            </c:strRef>
          </c:cat>
          <c:val>
            <c:numRef>
              <c:f>Joonised!$L$753:$L$772</c:f>
              <c:numCache>
                <c:formatCode>0.0</c:formatCode>
                <c:ptCount val="20"/>
                <c:pt idx="0">
                  <c:v>31.238596702370923</c:v>
                </c:pt>
                <c:pt idx="1">
                  <c:v>34.952058817285717</c:v>
                </c:pt>
                <c:pt idx="2">
                  <c:v>33.196572847345188</c:v>
                </c:pt>
                <c:pt idx="3">
                  <c:v>31.494015782025752</c:v>
                </c:pt>
                <c:pt idx="4">
                  <c:v>31.69976446423987</c:v>
                </c:pt>
                <c:pt idx="5">
                  <c:v>31.665820589292888</c:v>
                </c:pt>
                <c:pt idx="6">
                  <c:v>32.135802715455746</c:v>
                </c:pt>
                <c:pt idx="7">
                  <c:v>33.321070412431595</c:v>
                </c:pt>
                <c:pt idx="8">
                  <c:v>33.517581007821441</c:v>
                </c:pt>
                <c:pt idx="9">
                  <c:v>32.811241272824923</c:v>
                </c:pt>
                <c:pt idx="10">
                  <c:v>32.900910836720371</c:v>
                </c:pt>
                <c:pt idx="11">
                  <c:v>33.268147830131305</c:v>
                </c:pt>
                <c:pt idx="12">
                  <c:v>33.298796937659489</c:v>
                </c:pt>
                <c:pt idx="13">
                  <c:v>33.80397189515223</c:v>
                </c:pt>
                <c:pt idx="14">
                  <c:v>32.939196694361755</c:v>
                </c:pt>
                <c:pt idx="15">
                  <c:v>33.286156332672327</c:v>
                </c:pt>
                <c:pt idx="16">
                  <c:v>33.426656722414627</c:v>
                </c:pt>
                <c:pt idx="17">
                  <c:v>32.382362798317402</c:v>
                </c:pt>
                <c:pt idx="18">
                  <c:v>32.810341620917455</c:v>
                </c:pt>
                <c:pt idx="19">
                  <c:v>32.718447442570273</c:v>
                </c:pt>
              </c:numCache>
            </c:numRef>
          </c:val>
          <c:smooth val="0"/>
          <c:extLst>
            <c:ext xmlns:c16="http://schemas.microsoft.com/office/drawing/2014/chart" uri="{C3380CC4-5D6E-409C-BE32-E72D297353CC}">
              <c16:uniqueId val="{00000000-68F7-424C-9E78-D48D76727293}"/>
            </c:ext>
          </c:extLst>
        </c:ser>
        <c:ser>
          <c:idx val="1"/>
          <c:order val="1"/>
          <c:tx>
            <c:strRef>
              <c:f>Joonised!$M$752</c:f>
              <c:strCache>
                <c:ptCount val="1"/>
                <c:pt idx="0">
                  <c:v>Ilma uute maksumuudatusteta</c:v>
                </c:pt>
              </c:strCache>
            </c:strRef>
          </c:tx>
          <c:spPr>
            <a:ln w="31750">
              <a:solidFill>
                <a:srgbClr val="FFC000"/>
              </a:solidFill>
            </a:ln>
          </c:spPr>
          <c:marker>
            <c:symbol val="circle"/>
            <c:size val="3"/>
            <c:spPr>
              <a:solidFill>
                <a:schemeClr val="bg1"/>
              </a:solidFill>
              <a:ln>
                <a:solidFill>
                  <a:srgbClr val="FFC000"/>
                </a:solidFill>
              </a:ln>
            </c:spPr>
          </c:marker>
          <c:cat>
            <c:strRef>
              <c:f>Joonised!$K$753:$K$772</c:f>
              <c:strCache>
                <c:ptCount val="20"/>
                <c:pt idx="0">
                  <c:v>`08</c:v>
                </c:pt>
                <c:pt idx="1">
                  <c:v>`09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strCache>
            </c:strRef>
          </c:cat>
          <c:val>
            <c:numRef>
              <c:f>Joonised!$M$753:$M$772</c:f>
              <c:numCache>
                <c:formatCode>General</c:formatCode>
                <c:ptCount val="20"/>
                <c:pt idx="15" formatCode="0.0">
                  <c:v>33.236390315147815</c:v>
                </c:pt>
                <c:pt idx="16" formatCode="0.0">
                  <c:v>32.731150120266214</c:v>
                </c:pt>
                <c:pt idx="17" formatCode="0.0">
                  <c:v>32.401076449219865</c:v>
                </c:pt>
                <c:pt idx="18" formatCode="0.0">
                  <c:v>32.397617009997809</c:v>
                </c:pt>
                <c:pt idx="19" formatCode="0.0">
                  <c:v>32.240657647282404</c:v>
                </c:pt>
              </c:numCache>
            </c:numRef>
          </c:val>
          <c:smooth val="0"/>
          <c:extLst>
            <c:ext xmlns:c16="http://schemas.microsoft.com/office/drawing/2014/chart" uri="{C3380CC4-5D6E-409C-BE32-E72D297353CC}">
              <c16:uniqueId val="{00000001-68F7-424C-9E78-D48D76727293}"/>
            </c:ext>
          </c:extLst>
        </c:ser>
        <c:dLbls>
          <c:showLegendKey val="0"/>
          <c:showVal val="0"/>
          <c:showCatName val="0"/>
          <c:showSerName val="0"/>
          <c:showPercent val="0"/>
          <c:showBubbleSize val="0"/>
        </c:dLbls>
        <c:marker val="1"/>
        <c:smooth val="0"/>
        <c:axId val="427667472"/>
        <c:axId val="427667864"/>
      </c:lineChart>
      <c:catAx>
        <c:axId val="427667472"/>
        <c:scaling>
          <c:orientation val="minMax"/>
        </c:scaling>
        <c:delete val="0"/>
        <c:axPos val="b"/>
        <c:numFmt formatCode="General" sourceLinked="1"/>
        <c:majorTickMark val="out"/>
        <c:minorTickMark val="none"/>
        <c:tickLblPos val="nextTo"/>
        <c:spPr>
          <a:ln w="2570">
            <a:solidFill>
              <a:srgbClr val="000000"/>
            </a:solidFill>
            <a:prstDash val="solid"/>
          </a:ln>
        </c:spPr>
        <c:txPr>
          <a:bodyPr rot="0" vert="horz"/>
          <a:lstStyle/>
          <a:p>
            <a:pPr>
              <a:defRPr/>
            </a:pPr>
            <a:endParaRPr lang="et-EE"/>
          </a:p>
        </c:txPr>
        <c:crossAx val="427667864"/>
        <c:crosses val="autoZero"/>
        <c:auto val="1"/>
        <c:lblAlgn val="ctr"/>
        <c:lblOffset val="100"/>
        <c:tickLblSkip val="2"/>
        <c:tickMarkSkip val="1"/>
        <c:noMultiLvlLbl val="0"/>
      </c:catAx>
      <c:valAx>
        <c:axId val="427667864"/>
        <c:scaling>
          <c:orientation val="minMax"/>
          <c:max val="36"/>
          <c:min val="30"/>
        </c:scaling>
        <c:delete val="0"/>
        <c:axPos val="l"/>
        <c:majorGridlines>
          <c:spPr>
            <a:ln w="2570">
              <a:solidFill>
                <a:schemeClr val="tx1">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427667472"/>
        <c:crosses val="autoZero"/>
        <c:crossBetween val="between"/>
        <c:majorUnit val="1"/>
        <c:minorUnit val="1"/>
      </c:valAx>
      <c:spPr>
        <a:ln>
          <a:noFill/>
        </a:ln>
      </c:spPr>
    </c:plotArea>
    <c:legend>
      <c:legendPos val="b"/>
      <c:layout>
        <c:manualLayout>
          <c:xMode val="edge"/>
          <c:yMode val="edge"/>
          <c:x val="6.642815279158068E-2"/>
          <c:y val="0.79329314482568336"/>
          <c:w val="0.91179426248136708"/>
          <c:h val="0.20028875476558158"/>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32593041254459"/>
          <c:y val="8.001815989217563E-2"/>
          <c:w val="0.85537855844942745"/>
          <c:h val="0.62874521817203866"/>
        </c:manualLayout>
      </c:layout>
      <c:lineChart>
        <c:grouping val="standard"/>
        <c:varyColors val="0"/>
        <c:ser>
          <c:idx val="0"/>
          <c:order val="0"/>
          <c:tx>
            <c:strRef>
              <c:f>Joonised!$L$614</c:f>
              <c:strCache>
                <c:ptCount val="1"/>
                <c:pt idx="0">
                  <c:v>Eesti</c:v>
                </c:pt>
              </c:strCache>
            </c:strRef>
          </c:tx>
          <c:marker>
            <c:symbol val="none"/>
          </c:marker>
          <c:cat>
            <c:strRef>
              <c:f>Joonised!$M$613:$AE$613</c:f>
              <c:strCache>
                <c:ptCount val="19"/>
                <c:pt idx="0">
                  <c:v>`09</c:v>
                </c:pt>
                <c:pt idx="1">
                  <c:v>`10</c:v>
                </c:pt>
                <c:pt idx="2">
                  <c:v>`11</c:v>
                </c:pt>
                <c:pt idx="3">
                  <c:v>`12</c:v>
                </c:pt>
                <c:pt idx="4">
                  <c:v>`13</c:v>
                </c:pt>
                <c:pt idx="5">
                  <c:v>`14</c:v>
                </c:pt>
                <c:pt idx="6">
                  <c:v>`15</c:v>
                </c:pt>
                <c:pt idx="7">
                  <c:v>`16</c:v>
                </c:pt>
                <c:pt idx="8">
                  <c:v>`17</c:v>
                </c:pt>
                <c:pt idx="9">
                  <c:v>`18</c:v>
                </c:pt>
                <c:pt idx="10">
                  <c:v>`19</c:v>
                </c:pt>
                <c:pt idx="11">
                  <c:v>`20</c:v>
                </c:pt>
                <c:pt idx="12">
                  <c:v>`21</c:v>
                </c:pt>
                <c:pt idx="13">
                  <c:v>`22</c:v>
                </c:pt>
                <c:pt idx="14">
                  <c:v>`23</c:v>
                </c:pt>
                <c:pt idx="15">
                  <c:v>`24</c:v>
                </c:pt>
                <c:pt idx="16">
                  <c:v>`25</c:v>
                </c:pt>
                <c:pt idx="17">
                  <c:v>`26</c:v>
                </c:pt>
                <c:pt idx="18">
                  <c:v>`27</c:v>
                </c:pt>
              </c:strCache>
            </c:strRef>
          </c:cat>
          <c:val>
            <c:numRef>
              <c:f>Joonised!$M$614:$AE$614</c:f>
              <c:numCache>
                <c:formatCode>0.0%</c:formatCode>
                <c:ptCount val="19"/>
                <c:pt idx="0">
                  <c:v>0.33774955000000001</c:v>
                </c:pt>
                <c:pt idx="1">
                  <c:v>0.35388429000000005</c:v>
                </c:pt>
                <c:pt idx="2">
                  <c:v>0.34360192000000001</c:v>
                </c:pt>
                <c:pt idx="3">
                  <c:v>0.34002007000000001</c:v>
                </c:pt>
                <c:pt idx="4">
                  <c:v>0.33812409999999998</c:v>
                </c:pt>
                <c:pt idx="5">
                  <c:v>0.33558422999999998</c:v>
                </c:pt>
                <c:pt idx="6">
                  <c:v>0.32929269</c:v>
                </c:pt>
                <c:pt idx="7">
                  <c:v>0.32856116999999996</c:v>
                </c:pt>
                <c:pt idx="8">
                  <c:v>0.33091641000000005</c:v>
                </c:pt>
                <c:pt idx="9">
                  <c:v>0.32217171</c:v>
                </c:pt>
                <c:pt idx="10">
                  <c:v>0.32339931999999999</c:v>
                </c:pt>
                <c:pt idx="11">
                  <c:v>0.31882912999999996</c:v>
                </c:pt>
                <c:pt idx="12">
                  <c:v>0.32726027000000002</c:v>
                </c:pt>
                <c:pt idx="13">
                  <c:v>0.33153524071425428</c:v>
                </c:pt>
                <c:pt idx="14">
                  <c:v>0.33302348715830771</c:v>
                </c:pt>
                <c:pt idx="15">
                  <c:v>0.32962404175720705</c:v>
                </c:pt>
                <c:pt idx="16">
                  <c:v>0.3129222052712452</c:v>
                </c:pt>
                <c:pt idx="17">
                  <c:v>0.320056187098676</c:v>
                </c:pt>
                <c:pt idx="18">
                  <c:v>0.32044020410941787</c:v>
                </c:pt>
              </c:numCache>
            </c:numRef>
          </c:val>
          <c:smooth val="0"/>
          <c:extLst>
            <c:ext xmlns:c16="http://schemas.microsoft.com/office/drawing/2014/chart" uri="{C3380CC4-5D6E-409C-BE32-E72D297353CC}">
              <c16:uniqueId val="{00000000-9F85-4B29-A8D0-E3C46937DA4A}"/>
            </c:ext>
          </c:extLst>
        </c:ser>
        <c:ser>
          <c:idx val="1"/>
          <c:order val="1"/>
          <c:tx>
            <c:strRef>
              <c:f>Joonised!$L$615</c:f>
              <c:strCache>
                <c:ptCount val="1"/>
                <c:pt idx="0">
                  <c:v>Läti</c:v>
                </c:pt>
              </c:strCache>
            </c:strRef>
          </c:tx>
          <c:spPr>
            <a:ln>
              <a:solidFill>
                <a:srgbClr val="FFC000"/>
              </a:solidFill>
              <a:prstDash val="solid"/>
            </a:ln>
          </c:spPr>
          <c:marker>
            <c:symbol val="none"/>
          </c:marker>
          <c:cat>
            <c:strRef>
              <c:f>Joonised!$M$613:$AE$613</c:f>
              <c:strCache>
                <c:ptCount val="19"/>
                <c:pt idx="0">
                  <c:v>`09</c:v>
                </c:pt>
                <c:pt idx="1">
                  <c:v>`10</c:v>
                </c:pt>
                <c:pt idx="2">
                  <c:v>`11</c:v>
                </c:pt>
                <c:pt idx="3">
                  <c:v>`12</c:v>
                </c:pt>
                <c:pt idx="4">
                  <c:v>`13</c:v>
                </c:pt>
                <c:pt idx="5">
                  <c:v>`14</c:v>
                </c:pt>
                <c:pt idx="6">
                  <c:v>`15</c:v>
                </c:pt>
                <c:pt idx="7">
                  <c:v>`16</c:v>
                </c:pt>
                <c:pt idx="8">
                  <c:v>`17</c:v>
                </c:pt>
                <c:pt idx="9">
                  <c:v>`18</c:v>
                </c:pt>
                <c:pt idx="10">
                  <c:v>`19</c:v>
                </c:pt>
                <c:pt idx="11">
                  <c:v>`20</c:v>
                </c:pt>
                <c:pt idx="12">
                  <c:v>`21</c:v>
                </c:pt>
                <c:pt idx="13">
                  <c:v>`22</c:v>
                </c:pt>
                <c:pt idx="14">
                  <c:v>`23</c:v>
                </c:pt>
                <c:pt idx="15">
                  <c:v>`24</c:v>
                </c:pt>
                <c:pt idx="16">
                  <c:v>`25</c:v>
                </c:pt>
                <c:pt idx="17">
                  <c:v>`26</c:v>
                </c:pt>
                <c:pt idx="18">
                  <c:v>`27</c:v>
                </c:pt>
              </c:strCache>
            </c:strRef>
          </c:cat>
          <c:val>
            <c:numRef>
              <c:f>Joonised!$M$615:$AE$615</c:f>
              <c:numCache>
                <c:formatCode>0.0%</c:formatCode>
                <c:ptCount val="19"/>
                <c:pt idx="0">
                  <c:v>0.30388796000000001</c:v>
                </c:pt>
                <c:pt idx="1">
                  <c:v>0.32940986999999999</c:v>
                </c:pt>
                <c:pt idx="2">
                  <c:v>0.34145924</c:v>
                </c:pt>
                <c:pt idx="3">
                  <c:v>0.34159052000000001</c:v>
                </c:pt>
                <c:pt idx="4">
                  <c:v>0.32488508999999999</c:v>
                </c:pt>
                <c:pt idx="5">
                  <c:v>0.31461779000000001</c:v>
                </c:pt>
                <c:pt idx="6">
                  <c:v>0.30000486999999998</c:v>
                </c:pt>
                <c:pt idx="7">
                  <c:v>0.29432182000000001</c:v>
                </c:pt>
                <c:pt idx="8">
                  <c:v>0.29931785999999999</c:v>
                </c:pt>
                <c:pt idx="9">
                  <c:v>0.29536152999999998</c:v>
                </c:pt>
                <c:pt idx="10">
                  <c:v>0.29927281999999999</c:v>
                </c:pt>
                <c:pt idx="11">
                  <c:v>0.29731436999999999</c:v>
                </c:pt>
                <c:pt idx="12">
                  <c:v>0.30389762000000003</c:v>
                </c:pt>
              </c:numCache>
            </c:numRef>
          </c:val>
          <c:smooth val="0"/>
          <c:extLst>
            <c:ext xmlns:c16="http://schemas.microsoft.com/office/drawing/2014/chart" uri="{C3380CC4-5D6E-409C-BE32-E72D297353CC}">
              <c16:uniqueId val="{00000001-9F85-4B29-A8D0-E3C46937DA4A}"/>
            </c:ext>
          </c:extLst>
        </c:ser>
        <c:ser>
          <c:idx val="2"/>
          <c:order val="2"/>
          <c:tx>
            <c:strRef>
              <c:f>Joonised!$L$616</c:f>
              <c:strCache>
                <c:ptCount val="1"/>
                <c:pt idx="0">
                  <c:v>Leedu</c:v>
                </c:pt>
              </c:strCache>
            </c:strRef>
          </c:tx>
          <c:spPr>
            <a:ln>
              <a:solidFill>
                <a:srgbClr val="92D050"/>
              </a:solidFill>
            </a:ln>
          </c:spPr>
          <c:marker>
            <c:symbol val="none"/>
          </c:marker>
          <c:cat>
            <c:strRef>
              <c:f>Joonised!$M$613:$AE$613</c:f>
              <c:strCache>
                <c:ptCount val="19"/>
                <c:pt idx="0">
                  <c:v>`09</c:v>
                </c:pt>
                <c:pt idx="1">
                  <c:v>`10</c:v>
                </c:pt>
                <c:pt idx="2">
                  <c:v>`11</c:v>
                </c:pt>
                <c:pt idx="3">
                  <c:v>`12</c:v>
                </c:pt>
                <c:pt idx="4">
                  <c:v>`13</c:v>
                </c:pt>
                <c:pt idx="5">
                  <c:v>`14</c:v>
                </c:pt>
                <c:pt idx="6">
                  <c:v>`15</c:v>
                </c:pt>
                <c:pt idx="7">
                  <c:v>`16</c:v>
                </c:pt>
                <c:pt idx="8">
                  <c:v>`17</c:v>
                </c:pt>
                <c:pt idx="9">
                  <c:v>`18</c:v>
                </c:pt>
                <c:pt idx="10">
                  <c:v>`19</c:v>
                </c:pt>
                <c:pt idx="11">
                  <c:v>`20</c:v>
                </c:pt>
                <c:pt idx="12">
                  <c:v>`21</c:v>
                </c:pt>
                <c:pt idx="13">
                  <c:v>`22</c:v>
                </c:pt>
                <c:pt idx="14">
                  <c:v>`23</c:v>
                </c:pt>
                <c:pt idx="15">
                  <c:v>`24</c:v>
                </c:pt>
                <c:pt idx="16">
                  <c:v>`25</c:v>
                </c:pt>
                <c:pt idx="17">
                  <c:v>`26</c:v>
                </c:pt>
                <c:pt idx="18">
                  <c:v>`27</c:v>
                </c:pt>
              </c:strCache>
            </c:strRef>
          </c:cat>
          <c:val>
            <c:numRef>
              <c:f>Joonised!$M$616:$AE$616</c:f>
              <c:numCache>
                <c:formatCode>0.0%</c:formatCode>
                <c:ptCount val="19"/>
                <c:pt idx="0">
                  <c:v>0.31041772000000001</c:v>
                </c:pt>
                <c:pt idx="1">
                  <c:v>0.30496529999999999</c:v>
                </c:pt>
                <c:pt idx="2">
                  <c:v>0.30698754</c:v>
                </c:pt>
                <c:pt idx="3">
                  <c:v>0.30807659999999998</c:v>
                </c:pt>
                <c:pt idx="4">
                  <c:v>0.31029174999999998</c:v>
                </c:pt>
                <c:pt idx="5">
                  <c:v>0.31240746999999996</c:v>
                </c:pt>
                <c:pt idx="6">
                  <c:v>0.31219330000000001</c:v>
                </c:pt>
                <c:pt idx="7">
                  <c:v>0.31164648</c:v>
                </c:pt>
                <c:pt idx="8">
                  <c:v>0.30755474999999999</c:v>
                </c:pt>
                <c:pt idx="9">
                  <c:v>0.31431555999999999</c:v>
                </c:pt>
                <c:pt idx="10">
                  <c:v>0.30235559000000001</c:v>
                </c:pt>
                <c:pt idx="11">
                  <c:v>0.29672688999999997</c:v>
                </c:pt>
                <c:pt idx="12">
                  <c:v>0.30611733999999996</c:v>
                </c:pt>
              </c:numCache>
            </c:numRef>
          </c:val>
          <c:smooth val="0"/>
          <c:extLst>
            <c:ext xmlns:c16="http://schemas.microsoft.com/office/drawing/2014/chart" uri="{C3380CC4-5D6E-409C-BE32-E72D297353CC}">
              <c16:uniqueId val="{00000002-9F85-4B29-A8D0-E3C46937DA4A}"/>
            </c:ext>
          </c:extLst>
        </c:ser>
        <c:ser>
          <c:idx val="3"/>
          <c:order val="3"/>
          <c:tx>
            <c:strRef>
              <c:f>Joonised!$L$617</c:f>
              <c:strCache>
                <c:ptCount val="1"/>
                <c:pt idx="0">
                  <c:v>EL 27</c:v>
                </c:pt>
              </c:strCache>
            </c:strRef>
          </c:tx>
          <c:spPr>
            <a:ln>
              <a:solidFill>
                <a:srgbClr val="C00000"/>
              </a:solidFill>
            </a:ln>
          </c:spPr>
          <c:marker>
            <c:symbol val="none"/>
          </c:marker>
          <c:cat>
            <c:strRef>
              <c:f>Joonised!$M$613:$AE$613</c:f>
              <c:strCache>
                <c:ptCount val="19"/>
                <c:pt idx="0">
                  <c:v>`09</c:v>
                </c:pt>
                <c:pt idx="1">
                  <c:v>`10</c:v>
                </c:pt>
                <c:pt idx="2">
                  <c:v>`11</c:v>
                </c:pt>
                <c:pt idx="3">
                  <c:v>`12</c:v>
                </c:pt>
                <c:pt idx="4">
                  <c:v>`13</c:v>
                </c:pt>
                <c:pt idx="5">
                  <c:v>`14</c:v>
                </c:pt>
                <c:pt idx="6">
                  <c:v>`15</c:v>
                </c:pt>
                <c:pt idx="7">
                  <c:v>`16</c:v>
                </c:pt>
                <c:pt idx="8">
                  <c:v>`17</c:v>
                </c:pt>
                <c:pt idx="9">
                  <c:v>`18</c:v>
                </c:pt>
                <c:pt idx="10">
                  <c:v>`19</c:v>
                </c:pt>
                <c:pt idx="11">
                  <c:v>`20</c:v>
                </c:pt>
                <c:pt idx="12">
                  <c:v>`21</c:v>
                </c:pt>
                <c:pt idx="13">
                  <c:v>`22</c:v>
                </c:pt>
                <c:pt idx="14">
                  <c:v>`23</c:v>
                </c:pt>
                <c:pt idx="15">
                  <c:v>`24</c:v>
                </c:pt>
                <c:pt idx="16">
                  <c:v>`25</c:v>
                </c:pt>
                <c:pt idx="17">
                  <c:v>`26</c:v>
                </c:pt>
                <c:pt idx="18">
                  <c:v>`27</c:v>
                </c:pt>
              </c:strCache>
            </c:strRef>
          </c:cat>
          <c:val>
            <c:numRef>
              <c:f>Joonised!$M$617:$AE$617</c:f>
              <c:numCache>
                <c:formatCode>0.0%</c:formatCode>
                <c:ptCount val="19"/>
                <c:pt idx="0">
                  <c:v>0.36827742999999996</c:v>
                </c:pt>
                <c:pt idx="1">
                  <c:v>0.36722230000000006</c:v>
                </c:pt>
                <c:pt idx="2">
                  <c:v>0.37138202999999997</c:v>
                </c:pt>
                <c:pt idx="3">
                  <c:v>0.37683193999999998</c:v>
                </c:pt>
                <c:pt idx="4">
                  <c:v>0.38077907000000005</c:v>
                </c:pt>
                <c:pt idx="5">
                  <c:v>0.38084867</c:v>
                </c:pt>
                <c:pt idx="6">
                  <c:v>0.38070829000000006</c:v>
                </c:pt>
                <c:pt idx="7">
                  <c:v>0.37959653000000004</c:v>
                </c:pt>
                <c:pt idx="8">
                  <c:v>0.38072698000000005</c:v>
                </c:pt>
                <c:pt idx="9">
                  <c:v>0.38195680999999998</c:v>
                </c:pt>
                <c:pt idx="10">
                  <c:v>0.37949972999999998</c:v>
                </c:pt>
                <c:pt idx="11">
                  <c:v>0.37722996999999997</c:v>
                </c:pt>
                <c:pt idx="12">
                  <c:v>0.37794223999999998</c:v>
                </c:pt>
              </c:numCache>
            </c:numRef>
          </c:val>
          <c:smooth val="0"/>
          <c:extLst>
            <c:ext xmlns:c16="http://schemas.microsoft.com/office/drawing/2014/chart" uri="{C3380CC4-5D6E-409C-BE32-E72D297353CC}">
              <c16:uniqueId val="{00000003-9F85-4B29-A8D0-E3C46937DA4A}"/>
            </c:ext>
          </c:extLst>
        </c:ser>
        <c:dLbls>
          <c:showLegendKey val="0"/>
          <c:showVal val="0"/>
          <c:showCatName val="0"/>
          <c:showSerName val="0"/>
          <c:showPercent val="0"/>
          <c:showBubbleSize val="0"/>
        </c:dLbls>
        <c:smooth val="0"/>
        <c:axId val="429888488"/>
        <c:axId val="429888096"/>
      </c:lineChart>
      <c:catAx>
        <c:axId val="429888488"/>
        <c:scaling>
          <c:orientation val="minMax"/>
        </c:scaling>
        <c:delete val="0"/>
        <c:axPos val="b"/>
        <c:numFmt formatCode="#,##0.00" sourceLinked="0"/>
        <c:majorTickMark val="out"/>
        <c:minorTickMark val="none"/>
        <c:tickLblPos val="nextTo"/>
        <c:spPr>
          <a:ln w="3175">
            <a:solidFill>
              <a:sysClr val="windowText" lastClr="000000"/>
            </a:solidFill>
          </a:ln>
        </c:spPr>
        <c:txPr>
          <a:bodyPr rot="0" vert="horz"/>
          <a:lstStyle/>
          <a:p>
            <a:pPr>
              <a:defRPr/>
            </a:pPr>
            <a:endParaRPr lang="et-EE"/>
          </a:p>
        </c:txPr>
        <c:crossAx val="429888096"/>
        <c:crosses val="autoZero"/>
        <c:auto val="1"/>
        <c:lblAlgn val="ctr"/>
        <c:lblOffset val="100"/>
        <c:tickLblSkip val="2"/>
        <c:noMultiLvlLbl val="0"/>
      </c:catAx>
      <c:valAx>
        <c:axId val="429888096"/>
        <c:scaling>
          <c:orientation val="minMax"/>
          <c:max val="0.4"/>
          <c:min val="0.28000000000000008"/>
        </c:scaling>
        <c:delete val="0"/>
        <c:axPos val="l"/>
        <c:majorGridlines>
          <c:spPr>
            <a:ln w="3175">
              <a:solidFill>
                <a:sysClr val="windowText" lastClr="000000"/>
              </a:solidFill>
              <a:prstDash val="dash"/>
            </a:ln>
          </c:spPr>
        </c:majorGridlines>
        <c:numFmt formatCode="0%" sourceLinked="0"/>
        <c:majorTickMark val="out"/>
        <c:minorTickMark val="none"/>
        <c:tickLblPos val="nextTo"/>
        <c:spPr>
          <a:ln w="3175">
            <a:solidFill>
              <a:sysClr val="windowText" lastClr="000000"/>
            </a:solidFill>
          </a:ln>
        </c:spPr>
        <c:crossAx val="429888488"/>
        <c:crosses val="autoZero"/>
        <c:crossBetween val="between"/>
        <c:majorUnit val="2.0000000000000011E-2"/>
      </c:valAx>
      <c:spPr>
        <a:ln w="3175">
          <a:noFill/>
        </a:ln>
      </c:spPr>
    </c:plotArea>
    <c:legend>
      <c:legendPos val="b"/>
      <c:layout>
        <c:manualLayout>
          <c:xMode val="edge"/>
          <c:yMode val="edge"/>
          <c:x val="2.5792651077751728E-2"/>
          <c:y val="0.8162124290931807"/>
          <c:w val="0.97420734892222816"/>
          <c:h val="0.18378757090681952"/>
        </c:manualLayout>
      </c:layout>
      <c:overlay val="0"/>
    </c:legend>
    <c:plotVisOnly val="1"/>
    <c:dispBlanksAs val="gap"/>
    <c:showDLblsOverMax val="0"/>
  </c:chart>
  <c:spPr>
    <a:ln>
      <a:noFill/>
    </a:ln>
  </c:spPr>
  <c:txPr>
    <a:bodyPr/>
    <a:lstStyle/>
    <a:p>
      <a:pPr>
        <a:defRPr sz="800">
          <a:latin typeface="Segoe UI Light" panose="020B0502040204020203" pitchFamily="34" charset="0"/>
          <a:cs typeface="Segoe UI Light" panose="020B0502040204020203" pitchFamily="34" charset="0"/>
        </a:defRPr>
      </a:pPr>
      <a:endParaRPr lang="et-EE"/>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192518410926782E-2"/>
          <c:y val="0.15084505874074641"/>
          <c:w val="0.85286276108690062"/>
          <c:h val="0.55988875154511741"/>
        </c:manualLayout>
      </c:layout>
      <c:barChart>
        <c:barDir val="col"/>
        <c:grouping val="clustered"/>
        <c:varyColors val="0"/>
        <c:ser>
          <c:idx val="0"/>
          <c:order val="0"/>
          <c:tx>
            <c:strRef>
              <c:f>Joonised!$J$867</c:f>
              <c:strCache>
                <c:ptCount val="1"/>
                <c:pt idx="0">
                  <c:v>Kogukulu % SKPst</c:v>
                </c:pt>
              </c:strCache>
            </c:strRef>
          </c:tx>
          <c:spPr>
            <a:ln w="31750">
              <a:noFill/>
              <a:prstDash val="solid"/>
            </a:ln>
          </c:spPr>
          <c:invertIfNegative val="0"/>
          <c:cat>
            <c:strRef>
              <c:f>Joonised!$I$868:$I$881</c:f>
              <c:strCache>
                <c:ptCount val="14"/>
                <c:pt idx="0">
                  <c:v>'14</c:v>
                </c:pt>
                <c:pt idx="1">
                  <c:v>'15</c:v>
                </c:pt>
                <c:pt idx="2">
                  <c:v>'16</c:v>
                </c:pt>
                <c:pt idx="3">
                  <c:v>'17</c:v>
                </c:pt>
                <c:pt idx="4">
                  <c:v>'18</c:v>
                </c:pt>
                <c:pt idx="5">
                  <c:v>'19</c:v>
                </c:pt>
                <c:pt idx="6">
                  <c:v>'20</c:v>
                </c:pt>
                <c:pt idx="7">
                  <c:v>'21</c:v>
                </c:pt>
                <c:pt idx="8">
                  <c:v>'22</c:v>
                </c:pt>
                <c:pt idx="9">
                  <c:v>'23</c:v>
                </c:pt>
                <c:pt idx="10">
                  <c:v>'24</c:v>
                </c:pt>
                <c:pt idx="11">
                  <c:v>'25</c:v>
                </c:pt>
                <c:pt idx="12">
                  <c:v>'26</c:v>
                </c:pt>
                <c:pt idx="13">
                  <c:v>'27</c:v>
                </c:pt>
              </c:strCache>
            </c:strRef>
          </c:cat>
          <c:val>
            <c:numRef>
              <c:f>Joonised!$J$868:$J$881</c:f>
              <c:numCache>
                <c:formatCode>0.00%</c:formatCode>
                <c:ptCount val="14"/>
                <c:pt idx="0">
                  <c:v>0.37517858780264196</c:v>
                </c:pt>
                <c:pt idx="1">
                  <c:v>0.395248966376331</c:v>
                </c:pt>
                <c:pt idx="2">
                  <c:v>0.39397367102111003</c:v>
                </c:pt>
                <c:pt idx="3">
                  <c:v>0.39236204350161102</c:v>
                </c:pt>
                <c:pt idx="4">
                  <c:v>0.392712534995103</c:v>
                </c:pt>
                <c:pt idx="5">
                  <c:v>0.39125970448284503</c:v>
                </c:pt>
                <c:pt idx="6">
                  <c:v>0.44927087130878596</c:v>
                </c:pt>
                <c:pt idx="7">
                  <c:v>0.41838365042189396</c:v>
                </c:pt>
                <c:pt idx="8">
                  <c:v>0.39618507575420997</c:v>
                </c:pt>
                <c:pt idx="9">
                  <c:v>0.43070952275382496</c:v>
                </c:pt>
                <c:pt idx="10">
                  <c:v>0.42484531817710802</c:v>
                </c:pt>
                <c:pt idx="11">
                  <c:v>0.422843913183723</c:v>
                </c:pt>
                <c:pt idx="12">
                  <c:v>0.42669663359992299</c:v>
                </c:pt>
                <c:pt idx="13">
                  <c:v>0.42142855100743604</c:v>
                </c:pt>
              </c:numCache>
            </c:numRef>
          </c:val>
          <c:extLst>
            <c:ext xmlns:c16="http://schemas.microsoft.com/office/drawing/2014/chart" uri="{C3380CC4-5D6E-409C-BE32-E72D297353CC}">
              <c16:uniqueId val="{00000000-8B8C-4206-94E9-DCE004155989}"/>
            </c:ext>
          </c:extLst>
        </c:ser>
        <c:dLbls>
          <c:showLegendKey val="0"/>
          <c:showVal val="0"/>
          <c:showCatName val="0"/>
          <c:showSerName val="0"/>
          <c:showPercent val="0"/>
          <c:showBubbleSize val="0"/>
        </c:dLbls>
        <c:gapWidth val="50"/>
        <c:axId val="427669432"/>
        <c:axId val="427669824"/>
      </c:barChart>
      <c:lineChart>
        <c:grouping val="standard"/>
        <c:varyColors val="0"/>
        <c:ser>
          <c:idx val="1"/>
          <c:order val="1"/>
          <c:tx>
            <c:strRef>
              <c:f>Joonised!$K$867</c:f>
              <c:strCache>
                <c:ptCount val="1"/>
                <c:pt idx="0">
                  <c:v>Kasv v.e.a (parem skaala)</c:v>
                </c:pt>
              </c:strCache>
            </c:strRef>
          </c:tx>
          <c:marker>
            <c:symbol val="none"/>
          </c:marker>
          <c:cat>
            <c:strRef>
              <c:f>Joonised!$I$868:$I$881</c:f>
              <c:strCache>
                <c:ptCount val="14"/>
                <c:pt idx="0">
                  <c:v>'14</c:v>
                </c:pt>
                <c:pt idx="1">
                  <c:v>'15</c:v>
                </c:pt>
                <c:pt idx="2">
                  <c:v>'16</c:v>
                </c:pt>
                <c:pt idx="3">
                  <c:v>'17</c:v>
                </c:pt>
                <c:pt idx="4">
                  <c:v>'18</c:v>
                </c:pt>
                <c:pt idx="5">
                  <c:v>'19</c:v>
                </c:pt>
                <c:pt idx="6">
                  <c:v>'20</c:v>
                </c:pt>
                <c:pt idx="7">
                  <c:v>'21</c:v>
                </c:pt>
                <c:pt idx="8">
                  <c:v>'22</c:v>
                </c:pt>
                <c:pt idx="9">
                  <c:v>'23</c:v>
                </c:pt>
                <c:pt idx="10">
                  <c:v>'24</c:v>
                </c:pt>
                <c:pt idx="11">
                  <c:v>'25</c:v>
                </c:pt>
                <c:pt idx="12">
                  <c:v>'26</c:v>
                </c:pt>
                <c:pt idx="13">
                  <c:v>'27</c:v>
                </c:pt>
              </c:strCache>
            </c:strRef>
          </c:cat>
          <c:val>
            <c:numRef>
              <c:f>Joonised!$K$868:$K$881</c:f>
              <c:numCache>
                <c:formatCode>0.00%</c:formatCode>
                <c:ptCount val="14"/>
                <c:pt idx="0">
                  <c:v>4.1947070723752145E-2</c:v>
                </c:pt>
                <c:pt idx="1">
                  <c:v>7.7056174135858635E-2</c:v>
                </c:pt>
                <c:pt idx="2">
                  <c:v>5.0720461095100866E-2</c:v>
                </c:pt>
                <c:pt idx="3">
                  <c:v>9.14205016281322E-2</c:v>
                </c:pt>
                <c:pt idx="4">
                  <c:v>8.9066877686763357E-2</c:v>
                </c:pt>
                <c:pt idx="5">
                  <c:v>7.3861683637899134E-2</c:v>
                </c:pt>
                <c:pt idx="6">
                  <c:v>0.12686423862254359</c:v>
                </c:pt>
                <c:pt idx="7">
                  <c:v>5.7702763013754321E-2</c:v>
                </c:pt>
                <c:pt idx="8">
                  <c:v>9.4052420900878841E-2</c:v>
                </c:pt>
                <c:pt idx="9">
                  <c:v>0.17077432402251369</c:v>
                </c:pt>
                <c:pt idx="10">
                  <c:v>5.3916903672226457E-2</c:v>
                </c:pt>
                <c:pt idx="11">
                  <c:v>5.0494902334325742E-2</c:v>
                </c:pt>
                <c:pt idx="12">
                  <c:v>5.7426970619639972E-2</c:v>
                </c:pt>
                <c:pt idx="13">
                  <c:v>3.1595976989183594E-2</c:v>
                </c:pt>
              </c:numCache>
            </c:numRef>
          </c:val>
          <c:smooth val="1"/>
          <c:extLst>
            <c:ext xmlns:c16="http://schemas.microsoft.com/office/drawing/2014/chart" uri="{C3380CC4-5D6E-409C-BE32-E72D297353CC}">
              <c16:uniqueId val="{00000001-8B8C-4206-94E9-DCE004155989}"/>
            </c:ext>
          </c:extLst>
        </c:ser>
        <c:dLbls>
          <c:showLegendKey val="0"/>
          <c:showVal val="0"/>
          <c:showCatName val="0"/>
          <c:showSerName val="0"/>
          <c:showPercent val="0"/>
          <c:showBubbleSize val="0"/>
        </c:dLbls>
        <c:marker val="1"/>
        <c:smooth val="0"/>
        <c:axId val="1092294799"/>
        <c:axId val="1092325999"/>
      </c:lineChart>
      <c:catAx>
        <c:axId val="427669432"/>
        <c:scaling>
          <c:orientation val="minMax"/>
        </c:scaling>
        <c:delete val="0"/>
        <c:axPos val="b"/>
        <c:numFmt formatCode="#,##0.00" sourceLinked="0"/>
        <c:majorTickMark val="out"/>
        <c:minorTickMark val="none"/>
        <c:tickLblPos val="nextTo"/>
        <c:spPr>
          <a:ln w="2570">
            <a:solidFill>
              <a:srgbClr val="000000"/>
            </a:solidFill>
            <a:prstDash val="solid"/>
          </a:ln>
        </c:spPr>
        <c:txPr>
          <a:bodyPr rot="0" vert="horz"/>
          <a:lstStyle/>
          <a:p>
            <a:pPr>
              <a:defRPr/>
            </a:pPr>
            <a:endParaRPr lang="et-EE"/>
          </a:p>
        </c:txPr>
        <c:crossAx val="427669824"/>
        <c:crosses val="autoZero"/>
        <c:auto val="1"/>
        <c:lblAlgn val="ctr"/>
        <c:lblOffset val="100"/>
        <c:noMultiLvlLbl val="0"/>
      </c:catAx>
      <c:valAx>
        <c:axId val="427669824"/>
        <c:scaling>
          <c:orientation val="minMax"/>
        </c:scaling>
        <c:delete val="0"/>
        <c:axPos val="l"/>
        <c:majorGridlines>
          <c:spPr>
            <a:ln w="2570">
              <a:solidFill>
                <a:schemeClr val="bg1">
                  <a:lumMod val="50000"/>
                  <a:alpha val="50000"/>
                </a:schemeClr>
              </a:solidFill>
              <a:prstDash val="dash"/>
            </a:ln>
          </c:spPr>
        </c:majorGridlines>
        <c:title>
          <c:tx>
            <c:rich>
              <a:bodyPr rot="0" vert="horz"/>
              <a:lstStyle/>
              <a:p>
                <a:pPr>
                  <a:defRPr/>
                </a:pPr>
                <a:r>
                  <a:rPr lang="et-EE"/>
                  <a:t>% SKPst</a:t>
                </a:r>
              </a:p>
            </c:rich>
          </c:tx>
          <c:layout>
            <c:manualLayout>
              <c:xMode val="edge"/>
              <c:yMode val="edge"/>
              <c:x val="0"/>
              <c:y val="2.1465588972632243E-2"/>
            </c:manualLayout>
          </c:layout>
          <c:overlay val="0"/>
        </c:title>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427669432"/>
        <c:crosses val="autoZero"/>
        <c:crossBetween val="between"/>
      </c:valAx>
      <c:valAx>
        <c:axId val="1092325999"/>
        <c:scaling>
          <c:orientation val="minMax"/>
        </c:scaling>
        <c:delete val="0"/>
        <c:axPos val="r"/>
        <c:numFmt formatCode="0%" sourceLinked="0"/>
        <c:majorTickMark val="out"/>
        <c:minorTickMark val="none"/>
        <c:tickLblPos val="nextTo"/>
        <c:crossAx val="1092294799"/>
        <c:crosses val="max"/>
        <c:crossBetween val="between"/>
        <c:majorUnit val="5.000000000000001E-2"/>
      </c:valAx>
      <c:catAx>
        <c:axId val="1092294799"/>
        <c:scaling>
          <c:orientation val="minMax"/>
        </c:scaling>
        <c:delete val="1"/>
        <c:axPos val="b"/>
        <c:title>
          <c:tx>
            <c:rich>
              <a:bodyPr/>
              <a:lstStyle/>
              <a:p>
                <a:pPr>
                  <a:defRPr/>
                </a:pPr>
                <a:r>
                  <a:rPr lang="et-EE" sz="900"/>
                  <a:t>Aastane muutus,</a:t>
                </a:r>
                <a:r>
                  <a:rPr lang="et-EE" sz="900" baseline="0"/>
                  <a:t> %</a:t>
                </a:r>
                <a:endParaRPr lang="et-EE" sz="900"/>
              </a:p>
            </c:rich>
          </c:tx>
          <c:layout>
            <c:manualLayout>
              <c:xMode val="edge"/>
              <c:yMode val="edge"/>
              <c:x val="0.88637783978580875"/>
              <c:y val="3.959799753465322E-2"/>
            </c:manualLayout>
          </c:layout>
          <c:overlay val="0"/>
        </c:title>
        <c:numFmt formatCode="General" sourceLinked="1"/>
        <c:majorTickMark val="out"/>
        <c:minorTickMark val="none"/>
        <c:tickLblPos val="nextTo"/>
        <c:crossAx val="1092325999"/>
        <c:crosses val="autoZero"/>
        <c:auto val="1"/>
        <c:lblAlgn val="ctr"/>
        <c:lblOffset val="100"/>
        <c:noMultiLvlLbl val="0"/>
      </c:catAx>
      <c:spPr>
        <a:ln>
          <a:noFill/>
        </a:ln>
      </c:spPr>
    </c:plotArea>
    <c:legend>
      <c:legendPos val="b"/>
      <c:layout>
        <c:manualLayout>
          <c:xMode val="edge"/>
          <c:yMode val="edge"/>
          <c:x val="1.4648217516499763E-2"/>
          <c:y val="0.80494826898182836"/>
          <c:w val="0.96203654154881124"/>
          <c:h val="0.1340826139007037"/>
        </c:manualLayout>
      </c:layout>
      <c:overlay val="0"/>
    </c:legend>
    <c:plotVisOnly val="1"/>
    <c:dispBlanksAs val="gap"/>
    <c:showDLblsOverMax val="0"/>
  </c:chart>
  <c:spPr>
    <a:noFill/>
    <a:ln>
      <a:noFill/>
    </a:ln>
  </c:spPr>
  <c:txPr>
    <a:bodyPr/>
    <a:lstStyle/>
    <a:p>
      <a:pPr>
        <a:defRPr sz="800" b="0" i="0" u="none" strike="noStrike" baseline="0">
          <a:solidFill>
            <a:srgbClr val="000000"/>
          </a:solidFill>
          <a:latin typeface="Segoe UI Light" panose="020B0502040204020203" pitchFamily="34" charset="0"/>
          <a:ea typeface="Garamond"/>
          <a:cs typeface="Garamond"/>
        </a:defRPr>
      </a:pPr>
      <a:endParaRPr lang="et-EE"/>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8608058608058365E-2"/>
          <c:y val="4.4636113002353962E-2"/>
          <c:w val="0.94505494505494458"/>
          <c:h val="0.66523983842857271"/>
        </c:manualLayout>
      </c:layout>
      <c:lineChart>
        <c:grouping val="standard"/>
        <c:varyColors val="0"/>
        <c:ser>
          <c:idx val="0"/>
          <c:order val="0"/>
          <c:tx>
            <c:strRef>
              <c:f>Joonised!$K$47</c:f>
              <c:strCache>
                <c:ptCount val="1"/>
                <c:pt idx="0">
                  <c:v>Eesti</c:v>
                </c:pt>
              </c:strCache>
            </c:strRef>
          </c:tx>
          <c:marker>
            <c:symbol val="circle"/>
            <c:size val="4"/>
            <c:spPr>
              <a:solidFill>
                <a:srgbClr val="FFFFFF"/>
              </a:solidFill>
            </c:spPr>
          </c:marker>
          <c:cat>
            <c:strRef>
              <c:f>Joonised!$J$48:$J$74</c:f>
              <c:strCache>
                <c:ptCount val="27"/>
                <c:pt idx="0">
                  <c:v>`01</c:v>
                </c:pt>
                <c:pt idx="1">
                  <c:v>`02</c:v>
                </c:pt>
                <c:pt idx="2">
                  <c:v>`03</c:v>
                </c:pt>
                <c:pt idx="3">
                  <c:v>`04</c:v>
                </c:pt>
                <c:pt idx="4">
                  <c:v>`05</c:v>
                </c:pt>
                <c:pt idx="5">
                  <c:v>`06</c:v>
                </c:pt>
                <c:pt idx="6">
                  <c:v>`07</c:v>
                </c:pt>
                <c:pt idx="7">
                  <c:v>`08</c:v>
                </c:pt>
                <c:pt idx="8">
                  <c:v>`09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strCache>
            </c:strRef>
          </c:cat>
          <c:val>
            <c:numRef>
              <c:f>Joonised!$K$48:$K$74</c:f>
              <c:numCache>
                <c:formatCode>0.0</c:formatCode>
                <c:ptCount val="27"/>
                <c:pt idx="0">
                  <c:v>4.5999999999999996</c:v>
                </c:pt>
                <c:pt idx="1">
                  <c:v>5.9</c:v>
                </c:pt>
                <c:pt idx="2">
                  <c:v>5.2</c:v>
                </c:pt>
                <c:pt idx="3">
                  <c:v>4.4000000000000004</c:v>
                </c:pt>
                <c:pt idx="4">
                  <c:v>4.5999999999999996</c:v>
                </c:pt>
                <c:pt idx="5">
                  <c:v>5.4</c:v>
                </c:pt>
                <c:pt idx="6">
                  <c:v>6</c:v>
                </c:pt>
                <c:pt idx="7">
                  <c:v>6.2</c:v>
                </c:pt>
                <c:pt idx="8">
                  <c:v>6.1</c:v>
                </c:pt>
                <c:pt idx="9">
                  <c:v>4.8</c:v>
                </c:pt>
                <c:pt idx="10">
                  <c:v>5</c:v>
                </c:pt>
                <c:pt idx="11">
                  <c:v>6.3</c:v>
                </c:pt>
                <c:pt idx="12">
                  <c:v>5.6</c:v>
                </c:pt>
                <c:pt idx="13">
                  <c:v>5</c:v>
                </c:pt>
                <c:pt idx="14">
                  <c:v>5.2</c:v>
                </c:pt>
                <c:pt idx="15">
                  <c:v>4.5999999999999996</c:v>
                </c:pt>
                <c:pt idx="16">
                  <c:v>5.7</c:v>
                </c:pt>
                <c:pt idx="17">
                  <c:v>5.3</c:v>
                </c:pt>
                <c:pt idx="18">
                  <c:v>5</c:v>
                </c:pt>
                <c:pt idx="19">
                  <c:v>5.7</c:v>
                </c:pt>
                <c:pt idx="20">
                  <c:v>5.6</c:v>
                </c:pt>
                <c:pt idx="21">
                  <c:v>5.2</c:v>
                </c:pt>
                <c:pt idx="22">
                  <c:v>5.4957346795597575</c:v>
                </c:pt>
                <c:pt idx="23">
                  <c:v>5.7232716836503919</c:v>
                </c:pt>
                <c:pt idx="24">
                  <c:v>5.8930465457480121</c:v>
                </c:pt>
                <c:pt idx="25">
                  <c:v>6.4782223528114251</c:v>
                </c:pt>
                <c:pt idx="26">
                  <c:v>5.4715697951691293</c:v>
                </c:pt>
              </c:numCache>
            </c:numRef>
          </c:val>
          <c:smooth val="0"/>
          <c:extLst>
            <c:ext xmlns:c16="http://schemas.microsoft.com/office/drawing/2014/chart" uri="{C3380CC4-5D6E-409C-BE32-E72D297353CC}">
              <c16:uniqueId val="{00000000-E774-427A-BEEF-6B377C9A25BC}"/>
            </c:ext>
          </c:extLst>
        </c:ser>
        <c:ser>
          <c:idx val="1"/>
          <c:order val="1"/>
          <c:tx>
            <c:strRef>
              <c:f>Joonised!$L$47</c:f>
              <c:strCache>
                <c:ptCount val="1"/>
                <c:pt idx="0">
                  <c:v>EL 27 riiki (alates 2020)</c:v>
                </c:pt>
              </c:strCache>
            </c:strRef>
          </c:tx>
          <c:marker>
            <c:symbol val="circle"/>
            <c:size val="4"/>
            <c:spPr>
              <a:solidFill>
                <a:schemeClr val="bg1"/>
              </a:solidFill>
            </c:spPr>
          </c:marker>
          <c:cat>
            <c:strRef>
              <c:f>Joonised!$J$48:$J$74</c:f>
              <c:strCache>
                <c:ptCount val="27"/>
                <c:pt idx="0">
                  <c:v>`01</c:v>
                </c:pt>
                <c:pt idx="1">
                  <c:v>`02</c:v>
                </c:pt>
                <c:pt idx="2">
                  <c:v>`03</c:v>
                </c:pt>
                <c:pt idx="3">
                  <c:v>`04</c:v>
                </c:pt>
                <c:pt idx="4">
                  <c:v>`05</c:v>
                </c:pt>
                <c:pt idx="5">
                  <c:v>`06</c:v>
                </c:pt>
                <c:pt idx="6">
                  <c:v>`07</c:v>
                </c:pt>
                <c:pt idx="7">
                  <c:v>`08</c:v>
                </c:pt>
                <c:pt idx="8">
                  <c:v>`09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strCache>
            </c:strRef>
          </c:cat>
          <c:val>
            <c:numRef>
              <c:f>Joonised!$L$48:$L$74</c:f>
              <c:numCache>
                <c:formatCode>General</c:formatCode>
                <c:ptCount val="27"/>
                <c:pt idx="0">
                  <c:v>3.2</c:v>
                </c:pt>
                <c:pt idx="1">
                  <c:v>3.2</c:v>
                </c:pt>
                <c:pt idx="2">
                  <c:v>3.3</c:v>
                </c:pt>
                <c:pt idx="3">
                  <c:v>3.2</c:v>
                </c:pt>
                <c:pt idx="4">
                  <c:v>3.3</c:v>
                </c:pt>
                <c:pt idx="5">
                  <c:v>3.4</c:v>
                </c:pt>
                <c:pt idx="6">
                  <c:v>3.4</c:v>
                </c:pt>
                <c:pt idx="7">
                  <c:v>3.5</c:v>
                </c:pt>
                <c:pt idx="8">
                  <c:v>3.8</c:v>
                </c:pt>
                <c:pt idx="9">
                  <c:v>3.6</c:v>
                </c:pt>
                <c:pt idx="10">
                  <c:v>3.4</c:v>
                </c:pt>
                <c:pt idx="11">
                  <c:v>3.2</c:v>
                </c:pt>
                <c:pt idx="12">
                  <c:v>3.1</c:v>
                </c:pt>
                <c:pt idx="13">
                  <c:v>3</c:v>
                </c:pt>
                <c:pt idx="14">
                  <c:v>3</c:v>
                </c:pt>
                <c:pt idx="15">
                  <c:v>2.8</c:v>
                </c:pt>
                <c:pt idx="16">
                  <c:v>2.8</c:v>
                </c:pt>
                <c:pt idx="17">
                  <c:v>2.9</c:v>
                </c:pt>
                <c:pt idx="18">
                  <c:v>3</c:v>
                </c:pt>
                <c:pt idx="19">
                  <c:v>3.3</c:v>
                </c:pt>
                <c:pt idx="20">
                  <c:v>3.2</c:v>
                </c:pt>
                <c:pt idx="21">
                  <c:v>3.2</c:v>
                </c:pt>
              </c:numCache>
            </c:numRef>
          </c:val>
          <c:smooth val="0"/>
          <c:extLst>
            <c:ext xmlns:c16="http://schemas.microsoft.com/office/drawing/2014/chart" uri="{C3380CC4-5D6E-409C-BE32-E72D297353CC}">
              <c16:uniqueId val="{00000001-E774-427A-BEEF-6B377C9A25BC}"/>
            </c:ext>
          </c:extLst>
        </c:ser>
        <c:dLbls>
          <c:showLegendKey val="0"/>
          <c:showVal val="0"/>
          <c:showCatName val="0"/>
          <c:showSerName val="0"/>
          <c:showPercent val="0"/>
          <c:showBubbleSize val="0"/>
        </c:dLbls>
        <c:marker val="1"/>
        <c:smooth val="0"/>
        <c:axId val="433433184"/>
        <c:axId val="433433576"/>
      </c:lineChart>
      <c:catAx>
        <c:axId val="433433184"/>
        <c:scaling>
          <c:orientation val="minMax"/>
        </c:scaling>
        <c:delete val="0"/>
        <c:axPos val="b"/>
        <c:majorGridlines>
          <c:spPr>
            <a:ln w="0">
              <a:solidFill>
                <a:schemeClr val="bg1">
                  <a:alpha val="50000"/>
                </a:schemeClr>
              </a:solidFill>
              <a:prstDash val="lgDash"/>
            </a:ln>
          </c:spPr>
        </c:majorGridlines>
        <c:numFmt formatCode="General" sourceLinked="1"/>
        <c:majorTickMark val="out"/>
        <c:minorTickMark val="none"/>
        <c:tickLblPos val="nextTo"/>
        <c:spPr>
          <a:ln w="3174">
            <a:solidFill>
              <a:srgbClr val="000000"/>
            </a:solidFill>
            <a:prstDash val="solid"/>
          </a:ln>
        </c:spPr>
        <c:txPr>
          <a:bodyPr rot="0" vert="horz"/>
          <a:lstStyle/>
          <a:p>
            <a:pPr>
              <a:defRPr/>
            </a:pPr>
            <a:endParaRPr lang="et-EE"/>
          </a:p>
        </c:txPr>
        <c:crossAx val="433433576"/>
        <c:crossesAt val="0"/>
        <c:auto val="1"/>
        <c:lblAlgn val="ctr"/>
        <c:lblOffset val="100"/>
        <c:tickLblSkip val="2"/>
        <c:tickMarkSkip val="1"/>
        <c:noMultiLvlLbl val="0"/>
      </c:catAx>
      <c:valAx>
        <c:axId val="433433576"/>
        <c:scaling>
          <c:orientation val="minMax"/>
          <c:max val="8"/>
          <c:min val="0"/>
        </c:scaling>
        <c:delete val="0"/>
        <c:axPos val="l"/>
        <c:majorGridlines>
          <c:spPr>
            <a:ln w="3174">
              <a:solidFill>
                <a:schemeClr val="bg1">
                  <a:lumMod val="75000"/>
                </a:schemeClr>
              </a:solidFill>
              <a:prstDash val="dash"/>
            </a:ln>
          </c:spPr>
        </c:majorGridlines>
        <c:minorGridlines>
          <c:spPr>
            <a:ln w="3174">
              <a:solidFill>
                <a:srgbClr val="000000"/>
              </a:solidFill>
              <a:prstDash val="dash"/>
            </a:ln>
          </c:spPr>
        </c:minorGridlines>
        <c:numFmt formatCode="0" sourceLinked="0"/>
        <c:majorTickMark val="in"/>
        <c:minorTickMark val="none"/>
        <c:tickLblPos val="nextTo"/>
        <c:spPr>
          <a:ln w="3174">
            <a:solidFill>
              <a:srgbClr val="000000"/>
            </a:solidFill>
            <a:prstDash val="solid"/>
          </a:ln>
        </c:spPr>
        <c:txPr>
          <a:bodyPr rot="0" vert="horz"/>
          <a:lstStyle/>
          <a:p>
            <a:pPr>
              <a:defRPr/>
            </a:pPr>
            <a:endParaRPr lang="et-EE"/>
          </a:p>
        </c:txPr>
        <c:crossAx val="433433184"/>
        <c:crosses val="autoZero"/>
        <c:crossBetween val="between"/>
        <c:majorUnit val="2"/>
        <c:minorUnit val="2"/>
      </c:valAx>
      <c:spPr>
        <a:noFill/>
        <a:ln w="3174">
          <a:noFill/>
          <a:prstDash val="solid"/>
        </a:ln>
      </c:spPr>
    </c:plotArea>
    <c:legend>
      <c:legendPos val="b"/>
      <c:layout>
        <c:manualLayout>
          <c:xMode val="edge"/>
          <c:yMode val="edge"/>
          <c:x val="8.4569137595664617E-2"/>
          <c:y val="0.88610185843873801"/>
          <c:w val="0.86931206414732143"/>
          <c:h val="0.11389814156130842"/>
        </c:manualLayout>
      </c:layout>
      <c:overlay val="0"/>
      <c:spPr>
        <a:noFill/>
        <a:ln w="3174">
          <a:noFill/>
          <a:prstDash val="solid"/>
        </a:ln>
      </c:spPr>
    </c:legend>
    <c:plotVisOnly val="1"/>
    <c:dispBlanksAs val="gap"/>
    <c:showDLblsOverMax val="0"/>
  </c:chart>
  <c:spPr>
    <a:noFill/>
    <a:ln>
      <a:noFill/>
    </a:ln>
  </c:spPr>
  <c:txPr>
    <a:bodyPr/>
    <a:lstStyle/>
    <a:p>
      <a:pPr>
        <a:defRPr sz="900" b="0" i="0" u="none" strike="noStrike" baseline="0">
          <a:solidFill>
            <a:srgbClr val="000000"/>
          </a:solidFill>
          <a:latin typeface="Roboto Condensed" panose="02000000000000000000" pitchFamily="2" charset="0"/>
          <a:ea typeface="Roboto Condensed" panose="02000000000000000000" pitchFamily="2" charset="0"/>
          <a:cs typeface="Segoe UI Light" panose="020B0502040204020203" pitchFamily="34" charset="0"/>
        </a:defRPr>
      </a:pPr>
      <a:endParaRPr lang="et-EE"/>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192518410926782E-2"/>
          <c:y val="3.5733599765286138E-2"/>
          <c:w val="0.85286276108690062"/>
          <c:h val="0.70194194003695154"/>
        </c:manualLayout>
      </c:layout>
      <c:barChart>
        <c:barDir val="col"/>
        <c:grouping val="clustered"/>
        <c:varyColors val="0"/>
        <c:ser>
          <c:idx val="0"/>
          <c:order val="0"/>
          <c:tx>
            <c:strRef>
              <c:f>Joonised!$L$339</c:f>
              <c:strCache>
                <c:ptCount val="1"/>
                <c:pt idx="0">
                  <c:v>Maksukulu (parem skaala)</c:v>
                </c:pt>
              </c:strCache>
            </c:strRef>
          </c:tx>
          <c:spPr>
            <a:ln w="31750">
              <a:noFill/>
              <a:prstDash val="solid"/>
            </a:ln>
          </c:spPr>
          <c:invertIfNegative val="0"/>
          <c:cat>
            <c:strRef>
              <c:f>Joonised!$K$340:$K$354</c:f>
              <c:strCache>
                <c:ptCount val="15"/>
                <c:pt idx="0">
                  <c:v>'13</c:v>
                </c:pt>
                <c:pt idx="1">
                  <c:v>'14</c:v>
                </c:pt>
                <c:pt idx="2">
                  <c:v>'15</c:v>
                </c:pt>
                <c:pt idx="3">
                  <c:v>'16</c:v>
                </c:pt>
                <c:pt idx="4">
                  <c:v>'17</c:v>
                </c:pt>
                <c:pt idx="5">
                  <c:v>'18</c:v>
                </c:pt>
                <c:pt idx="6">
                  <c:v>'19</c:v>
                </c:pt>
                <c:pt idx="7">
                  <c:v>'20</c:v>
                </c:pt>
                <c:pt idx="8">
                  <c:v>'21</c:v>
                </c:pt>
                <c:pt idx="9">
                  <c:v>'22</c:v>
                </c:pt>
                <c:pt idx="10">
                  <c:v>'23</c:v>
                </c:pt>
                <c:pt idx="11">
                  <c:v>'24</c:v>
                </c:pt>
                <c:pt idx="12">
                  <c:v>'25</c:v>
                </c:pt>
                <c:pt idx="13">
                  <c:v>'26</c:v>
                </c:pt>
                <c:pt idx="14">
                  <c:v>'27</c:v>
                </c:pt>
              </c:strCache>
            </c:strRef>
          </c:cat>
          <c:val>
            <c:numRef>
              <c:f>Joonised!$L$340:$L$354</c:f>
              <c:numCache>
                <c:formatCode>0.0</c:formatCode>
                <c:ptCount val="15"/>
                <c:pt idx="0">
                  <c:v>318.3599999999999</c:v>
                </c:pt>
                <c:pt idx="1">
                  <c:v>345.86</c:v>
                </c:pt>
                <c:pt idx="2">
                  <c:v>348.12580683392719</c:v>
                </c:pt>
                <c:pt idx="3">
                  <c:v>353.00211289245811</c:v>
                </c:pt>
                <c:pt idx="4">
                  <c:v>400.20038818980186</c:v>
                </c:pt>
                <c:pt idx="5">
                  <c:v>217.03418418200513</c:v>
                </c:pt>
                <c:pt idx="6">
                  <c:v>250.93648854283887</c:v>
                </c:pt>
                <c:pt idx="7">
                  <c:v>263.48277477980093</c:v>
                </c:pt>
                <c:pt idx="8">
                  <c:v>305.28979090613041</c:v>
                </c:pt>
                <c:pt idx="9">
                  <c:v>343.20398893932463</c:v>
                </c:pt>
                <c:pt idx="10">
                  <c:v>424.21406995985268</c:v>
                </c:pt>
                <c:pt idx="11">
                  <c:v>505.77468849647556</c:v>
                </c:pt>
                <c:pt idx="12">
                  <c:v>366.89577246283278</c:v>
                </c:pt>
                <c:pt idx="13">
                  <c:v>409.77023841915639</c:v>
                </c:pt>
                <c:pt idx="14">
                  <c:v>452.70245376553947</c:v>
                </c:pt>
              </c:numCache>
            </c:numRef>
          </c:val>
          <c:extLst>
            <c:ext xmlns:c16="http://schemas.microsoft.com/office/drawing/2014/chart" uri="{C3380CC4-5D6E-409C-BE32-E72D297353CC}">
              <c16:uniqueId val="{00000000-D605-4971-9ECC-8867E4225AF6}"/>
            </c:ext>
          </c:extLst>
        </c:ser>
        <c:dLbls>
          <c:showLegendKey val="0"/>
          <c:showVal val="0"/>
          <c:showCatName val="0"/>
          <c:showSerName val="0"/>
          <c:showPercent val="0"/>
          <c:showBubbleSize val="0"/>
        </c:dLbls>
        <c:gapWidth val="150"/>
        <c:axId val="770975807"/>
        <c:axId val="770977887"/>
      </c:barChart>
      <c:lineChart>
        <c:grouping val="standard"/>
        <c:varyColors val="0"/>
        <c:ser>
          <c:idx val="1"/>
          <c:order val="1"/>
          <c:tx>
            <c:strRef>
              <c:f>Joonised!$M$339</c:f>
              <c:strCache>
                <c:ptCount val="1"/>
                <c:pt idx="0">
                  <c:v>%SKPst </c:v>
                </c:pt>
              </c:strCache>
            </c:strRef>
          </c:tx>
          <c:marker>
            <c:symbol val="none"/>
          </c:marker>
          <c:cat>
            <c:strRef>
              <c:f>Joonised!$K$340:$K$354</c:f>
              <c:strCache>
                <c:ptCount val="15"/>
                <c:pt idx="0">
                  <c:v>'13</c:v>
                </c:pt>
                <c:pt idx="1">
                  <c:v>'14</c:v>
                </c:pt>
                <c:pt idx="2">
                  <c:v>'15</c:v>
                </c:pt>
                <c:pt idx="3">
                  <c:v>'16</c:v>
                </c:pt>
                <c:pt idx="4">
                  <c:v>'17</c:v>
                </c:pt>
                <c:pt idx="5">
                  <c:v>'18</c:v>
                </c:pt>
                <c:pt idx="6">
                  <c:v>'19</c:v>
                </c:pt>
                <c:pt idx="7">
                  <c:v>'20</c:v>
                </c:pt>
                <c:pt idx="8">
                  <c:v>'21</c:v>
                </c:pt>
                <c:pt idx="9">
                  <c:v>'22</c:v>
                </c:pt>
                <c:pt idx="10">
                  <c:v>'23</c:v>
                </c:pt>
                <c:pt idx="11">
                  <c:v>'24</c:v>
                </c:pt>
                <c:pt idx="12">
                  <c:v>'25</c:v>
                </c:pt>
                <c:pt idx="13">
                  <c:v>'26</c:v>
                </c:pt>
                <c:pt idx="14">
                  <c:v>'27</c:v>
                </c:pt>
              </c:strCache>
            </c:strRef>
          </c:cat>
          <c:val>
            <c:numRef>
              <c:f>Joonised!$M$340:$M$354</c:f>
              <c:numCache>
                <c:formatCode>0.0%</c:formatCode>
                <c:ptCount val="15"/>
                <c:pt idx="0">
                  <c:v>1.683482454470461E-2</c:v>
                </c:pt>
                <c:pt idx="1">
                  <c:v>1.7251424067996131E-2</c:v>
                </c:pt>
                <c:pt idx="2">
                  <c:v>1.6873672857935621E-2</c:v>
                </c:pt>
                <c:pt idx="3">
                  <c:v>1.6231549386030747E-2</c:v>
                </c:pt>
                <c:pt idx="4">
                  <c:v>1.6791436803076407E-2</c:v>
                </c:pt>
                <c:pt idx="5">
                  <c:v>8.3692931637888469E-3</c:v>
                </c:pt>
                <c:pt idx="6">
                  <c:v>8.9777284727859067E-3</c:v>
                </c:pt>
                <c:pt idx="7">
                  <c:v>9.6056425366314591E-3</c:v>
                </c:pt>
                <c:pt idx="8">
                  <c:v>9.7946610704908853E-3</c:v>
                </c:pt>
                <c:pt idx="9">
                  <c:v>9.5304790992614685E-3</c:v>
                </c:pt>
                <c:pt idx="10">
                  <c:v>1.0938572455837556E-2</c:v>
                </c:pt>
                <c:pt idx="11">
                  <c:v>1.220598025339284E-2</c:v>
                </c:pt>
                <c:pt idx="12">
                  <c:v>8.3890653358370364E-3</c:v>
                </c:pt>
                <c:pt idx="13">
                  <c:v>8.9412869235452747E-3</c:v>
                </c:pt>
                <c:pt idx="14">
                  <c:v>9.4573087190929113E-3</c:v>
                </c:pt>
              </c:numCache>
            </c:numRef>
          </c:val>
          <c:smooth val="0"/>
          <c:extLst>
            <c:ext xmlns:c16="http://schemas.microsoft.com/office/drawing/2014/chart" uri="{C3380CC4-5D6E-409C-BE32-E72D297353CC}">
              <c16:uniqueId val="{00000001-D605-4971-9ECC-8867E4225AF6}"/>
            </c:ext>
          </c:extLst>
        </c:ser>
        <c:dLbls>
          <c:showLegendKey val="0"/>
          <c:showVal val="0"/>
          <c:showCatName val="0"/>
          <c:showSerName val="0"/>
          <c:showPercent val="0"/>
          <c:showBubbleSize val="0"/>
        </c:dLbls>
        <c:marker val="1"/>
        <c:smooth val="0"/>
        <c:axId val="427669432"/>
        <c:axId val="427669824"/>
      </c:lineChart>
      <c:catAx>
        <c:axId val="427669432"/>
        <c:scaling>
          <c:orientation val="minMax"/>
        </c:scaling>
        <c:delete val="0"/>
        <c:axPos val="b"/>
        <c:numFmt formatCode="#,##0.00" sourceLinked="0"/>
        <c:majorTickMark val="out"/>
        <c:minorTickMark val="none"/>
        <c:tickLblPos val="nextTo"/>
        <c:spPr>
          <a:ln w="2570">
            <a:solidFill>
              <a:srgbClr val="000000"/>
            </a:solidFill>
            <a:prstDash val="solid"/>
          </a:ln>
        </c:spPr>
        <c:txPr>
          <a:bodyPr rot="0" vert="horz"/>
          <a:lstStyle/>
          <a:p>
            <a:pPr>
              <a:defRPr/>
            </a:pPr>
            <a:endParaRPr lang="et-EE"/>
          </a:p>
        </c:txPr>
        <c:crossAx val="427669824"/>
        <c:crosses val="autoZero"/>
        <c:auto val="1"/>
        <c:lblAlgn val="ctr"/>
        <c:lblOffset val="100"/>
        <c:noMultiLvlLbl val="0"/>
      </c:catAx>
      <c:valAx>
        <c:axId val="427669824"/>
        <c:scaling>
          <c:orientation val="minMax"/>
          <c:min val="0"/>
        </c:scaling>
        <c:delete val="0"/>
        <c:axPos val="l"/>
        <c:majorGridlines>
          <c:spPr>
            <a:ln w="2570">
              <a:solidFill>
                <a:schemeClr val="bg1">
                  <a:lumMod val="50000"/>
                  <a:alpha val="50000"/>
                </a:schemeClr>
              </a:solidFill>
              <a:prstDash val="dash"/>
            </a:ln>
          </c:spPr>
        </c:majorGridlines>
        <c:title>
          <c:tx>
            <c:rich>
              <a:bodyPr rot="0" vert="horz"/>
              <a:lstStyle/>
              <a:p>
                <a:pPr>
                  <a:defRPr/>
                </a:pPr>
                <a:r>
                  <a:rPr lang="et-EE"/>
                  <a:t>Mln €</a:t>
                </a:r>
              </a:p>
            </c:rich>
          </c:tx>
          <c:layout>
            <c:manualLayout>
              <c:xMode val="edge"/>
              <c:yMode val="edge"/>
              <c:x val="0.90196078431372551"/>
              <c:y val="4.2601649694712855E-2"/>
            </c:manualLayout>
          </c:layout>
          <c:overlay val="0"/>
        </c:title>
        <c:numFmt formatCode="0.0%" sourceLinked="0"/>
        <c:majorTickMark val="in"/>
        <c:minorTickMark val="none"/>
        <c:tickLblPos val="nextTo"/>
        <c:spPr>
          <a:ln w="2570">
            <a:solidFill>
              <a:srgbClr val="000000"/>
            </a:solidFill>
            <a:prstDash val="sysDash"/>
          </a:ln>
        </c:spPr>
        <c:txPr>
          <a:bodyPr rot="0" vert="horz"/>
          <a:lstStyle/>
          <a:p>
            <a:pPr>
              <a:defRPr/>
            </a:pPr>
            <a:endParaRPr lang="et-EE"/>
          </a:p>
        </c:txPr>
        <c:crossAx val="427669432"/>
        <c:crosses val="autoZero"/>
        <c:crossBetween val="between"/>
        <c:majorUnit val="5.000000000000001E-3"/>
      </c:valAx>
      <c:valAx>
        <c:axId val="770977887"/>
        <c:scaling>
          <c:orientation val="minMax"/>
        </c:scaling>
        <c:delete val="0"/>
        <c:axPos val="r"/>
        <c:numFmt formatCode="0" sourceLinked="0"/>
        <c:majorTickMark val="in"/>
        <c:minorTickMark val="none"/>
        <c:tickLblPos val="nextTo"/>
        <c:spPr>
          <a:ln w="3175">
            <a:solidFill>
              <a:schemeClr val="tx1"/>
            </a:solidFill>
          </a:ln>
        </c:spPr>
        <c:crossAx val="770975807"/>
        <c:crosses val="max"/>
        <c:crossBetween val="between"/>
      </c:valAx>
      <c:catAx>
        <c:axId val="770975807"/>
        <c:scaling>
          <c:orientation val="minMax"/>
        </c:scaling>
        <c:delete val="1"/>
        <c:axPos val="b"/>
        <c:numFmt formatCode="General" sourceLinked="1"/>
        <c:majorTickMark val="out"/>
        <c:minorTickMark val="none"/>
        <c:tickLblPos val="nextTo"/>
        <c:crossAx val="770977887"/>
        <c:crosses val="autoZero"/>
        <c:auto val="1"/>
        <c:lblAlgn val="ctr"/>
        <c:lblOffset val="100"/>
        <c:noMultiLvlLbl val="0"/>
      </c:catAx>
      <c:spPr>
        <a:ln>
          <a:noFill/>
        </a:ln>
      </c:spPr>
    </c:plotArea>
    <c:legend>
      <c:legendPos val="b"/>
      <c:layout>
        <c:manualLayout>
          <c:xMode val="edge"/>
          <c:yMode val="edge"/>
          <c:x val="0.15272804491671552"/>
          <c:y val="0.86888534703554809"/>
          <c:w val="0.58895428176785602"/>
          <c:h val="0.10202471745615088"/>
        </c:manualLayout>
      </c:layout>
      <c:overlay val="0"/>
    </c:legend>
    <c:plotVisOnly val="1"/>
    <c:dispBlanksAs val="gap"/>
    <c:showDLblsOverMax val="0"/>
  </c:chart>
  <c:spPr>
    <a:noFill/>
    <a:ln>
      <a:noFill/>
    </a:ln>
  </c:spPr>
  <c:txPr>
    <a:bodyPr/>
    <a:lstStyle/>
    <a:p>
      <a:pPr>
        <a:defRPr sz="800" b="0" i="0" u="none" strike="noStrike" baseline="0">
          <a:solidFill>
            <a:srgbClr val="000000"/>
          </a:solidFill>
          <a:latin typeface="Segoe UI Light" panose="020B0502040204020203" pitchFamily="34" charset="0"/>
          <a:ea typeface="Garamond"/>
          <a:cs typeface="Garamond"/>
        </a:defRPr>
      </a:pPr>
      <a:endParaRPr lang="et-EE"/>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 SKPst)</a:t>
            </a:r>
          </a:p>
        </c:rich>
      </c:tx>
      <c:layout>
        <c:manualLayout>
          <c:xMode val="edge"/>
          <c:yMode val="edge"/>
          <c:x val="6.8438003220612194E-4"/>
          <c:y val="0"/>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autoTitleDeleted val="0"/>
    <c:plotArea>
      <c:layout>
        <c:manualLayout>
          <c:layoutTarget val="inner"/>
          <c:xMode val="edge"/>
          <c:yMode val="edge"/>
          <c:x val="0.13358475821590263"/>
          <c:y val="7.6466581437588124E-2"/>
          <c:w val="0.8397404207969148"/>
          <c:h val="0.63430519306868693"/>
        </c:manualLayout>
      </c:layout>
      <c:barChart>
        <c:barDir val="col"/>
        <c:grouping val="clustered"/>
        <c:varyColors val="0"/>
        <c:ser>
          <c:idx val="7"/>
          <c:order val="7"/>
          <c:tx>
            <c:strRef>
              <c:f>Joonised!$S$381</c:f>
              <c:strCache>
                <c:ptCount val="1"/>
                <c:pt idx="0">
                  <c:v>Reservid</c:v>
                </c:pt>
              </c:strCache>
            </c:strRef>
          </c:tx>
          <c:spPr>
            <a:solidFill>
              <a:schemeClr val="accent3">
                <a:lumMod val="80000"/>
                <a:lumOff val="20000"/>
              </a:schemeClr>
            </a:solidFill>
            <a:ln>
              <a:noFill/>
            </a:ln>
            <a:effectLst/>
          </c:spPr>
          <c:invertIfNegative val="0"/>
          <c:dLbls>
            <c:dLbl>
              <c:idx val="10"/>
              <c:tx>
                <c:rich>
                  <a:bodyPr/>
                  <a:lstStyle/>
                  <a:p>
                    <a:fld id="{F9A00422-1D79-469F-8A76-FBC16AED1CE9}"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5153-45B0-A6A0-B6A79D6829DB}"/>
                </c:ext>
              </c:extLst>
            </c:dLbl>
            <c:dLbl>
              <c:idx val="11"/>
              <c:tx>
                <c:rich>
                  <a:bodyPr/>
                  <a:lstStyle/>
                  <a:p>
                    <a:fld id="{EB9CD28C-44F5-4B8A-B3C5-92D33B8D0C9A}"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153-45B0-A6A0-B6A79D6829DB}"/>
                </c:ext>
              </c:extLst>
            </c:dLbl>
            <c:dLbl>
              <c:idx val="15"/>
              <c:tx>
                <c:rich>
                  <a:bodyPr/>
                  <a:lstStyle/>
                  <a:p>
                    <a:fld id="{20EF8F2E-892F-4876-AFC6-FC3991E7E1B7}"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5153-45B0-A6A0-B6A79D6829DB}"/>
                </c:ext>
              </c:extLst>
            </c:dLbl>
            <c:spPr>
              <a:noFill/>
              <a:ln>
                <a:noFill/>
              </a:ln>
              <a:effectLst/>
            </c:spPr>
            <c:txPr>
              <a:bodyPr rot="0" spcFirstLastPara="1" vertOverflow="ellipsis" vert="horz" wrap="square" lIns="38100" tIns="19050" rIns="38100" bIns="19050" anchor="ctr" anchorCtr="1">
                <a:spAutoFit/>
              </a:bodyPr>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Joonised!$K$387:$K$402</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extLst/>
            </c:strRef>
          </c:cat>
          <c:val>
            <c:numRef>
              <c:f>Joonised!$S$387:$S$402</c:f>
              <c:numCache>
                <c:formatCode>0.0</c:formatCode>
                <c:ptCount val="16"/>
                <c:pt idx="0">
                  <c:v>9.6156636861904605</c:v>
                </c:pt>
                <c:pt idx="1">
                  <c:v>9.2529136789559434</c:v>
                </c:pt>
                <c:pt idx="2">
                  <c:v>10.702706477389489</c:v>
                </c:pt>
                <c:pt idx="3">
                  <c:v>8.5956774415572461</c:v>
                </c:pt>
                <c:pt idx="4">
                  <c:v>8.4725421764860052</c:v>
                </c:pt>
                <c:pt idx="5">
                  <c:v>7.7281652792696027</c:v>
                </c:pt>
                <c:pt idx="6">
                  <c:v>7.0109747726764393</c:v>
                </c:pt>
                <c:pt idx="7">
                  <c:v>8.011877929233302</c:v>
                </c:pt>
                <c:pt idx="8">
                  <c:v>12.038279256288735</c:v>
                </c:pt>
                <c:pt idx="9">
                  <c:v>9.9432128075972912</c:v>
                </c:pt>
                <c:pt idx="10">
                  <c:v>11.115153063491357</c:v>
                </c:pt>
                <c:pt idx="11">
                  <c:v>7.3169548681572092</c:v>
                </c:pt>
                <c:pt idx="12">
                  <c:v>6.9334463410228189</c:v>
                </c:pt>
                <c:pt idx="13">
                  <c:v>6.7511259403192572</c:v>
                </c:pt>
                <c:pt idx="14">
                  <c:v>6.5573519811112737</c:v>
                </c:pt>
                <c:pt idx="15">
                  <c:v>6.4542309870868353</c:v>
                </c:pt>
              </c:numCache>
              <c:extLst/>
            </c:numRef>
          </c:val>
          <c:extLst>
            <c:ext xmlns:c16="http://schemas.microsoft.com/office/drawing/2014/chart" uri="{C3380CC4-5D6E-409C-BE32-E72D297353CC}">
              <c16:uniqueId val="{00000003-5153-45B0-A6A0-B6A79D6829DB}"/>
            </c:ext>
          </c:extLst>
        </c:ser>
        <c:ser>
          <c:idx val="8"/>
          <c:order val="8"/>
          <c:tx>
            <c:strRef>
              <c:f>Joonised!$T$381</c:f>
              <c:strCache>
                <c:ptCount val="1"/>
                <c:pt idx="0">
                  <c:v>Võlg</c:v>
                </c:pt>
              </c:strCache>
            </c:strRef>
          </c:tx>
          <c:spPr>
            <a:solidFill>
              <a:schemeClr val="accent5">
                <a:lumMod val="80000"/>
                <a:lumOff val="20000"/>
              </a:schemeClr>
            </a:solidFill>
            <a:ln>
              <a:noFill/>
            </a:ln>
            <a:effectLst/>
          </c:spPr>
          <c:invertIfNegative val="0"/>
          <c:dLbls>
            <c:dLbl>
              <c:idx val="10"/>
              <c:layout>
                <c:manualLayout>
                  <c:x val="-7.3498709287430014E-3"/>
                  <c:y val="2.8660440355254058E-2"/>
                </c:manualLayout>
              </c:layout>
              <c:tx>
                <c:rich>
                  <a:bodyPr/>
                  <a:lstStyle/>
                  <a:p>
                    <a:fld id="{D5C6BC02-E143-4FC5-B8E4-A0996D2FE07F}"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5153-45B0-A6A0-B6A79D6829DB}"/>
                </c:ext>
              </c:extLst>
            </c:dLbl>
            <c:dLbl>
              <c:idx val="11"/>
              <c:tx>
                <c:rich>
                  <a:bodyPr/>
                  <a:lstStyle/>
                  <a:p>
                    <a:fld id="{BB14D2FF-2BC6-4DA7-ABDE-9B32F7271008}"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153-45B0-A6A0-B6A79D6829DB}"/>
                </c:ext>
              </c:extLst>
            </c:dLbl>
            <c:dLbl>
              <c:idx val="15"/>
              <c:tx>
                <c:rich>
                  <a:bodyPr/>
                  <a:lstStyle/>
                  <a:p>
                    <a:fld id="{DD328488-9DB7-4735-9D0C-A503CE58CB64}"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5153-45B0-A6A0-B6A79D6829DB}"/>
                </c:ext>
              </c:extLst>
            </c:dLbl>
            <c:spPr>
              <a:noFill/>
              <a:ln>
                <a:noFill/>
              </a:ln>
              <a:effectLst/>
            </c:spPr>
            <c:txPr>
              <a:bodyPr rot="0" spcFirstLastPara="1" vertOverflow="ellipsis" vert="horz" wrap="square" lIns="38100" tIns="19050" rIns="38100" bIns="19050" anchor="ctr" anchorCtr="1">
                <a:spAutoFit/>
              </a:bodyPr>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Joonised!$K$387:$K$402</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extLst/>
            </c:strRef>
          </c:cat>
          <c:val>
            <c:numRef>
              <c:f>Joonised!$T$387:$T$402</c:f>
              <c:numCache>
                <c:formatCode>0.0</c:formatCode>
                <c:ptCount val="16"/>
                <c:pt idx="0">
                  <c:v>-9.8372459060312778</c:v>
                </c:pt>
                <c:pt idx="1">
                  <c:v>-10.228017852232588</c:v>
                </c:pt>
                <c:pt idx="2">
                  <c:v>-10.623896409652737</c:v>
                </c:pt>
                <c:pt idx="3">
                  <c:v>-10.069166751489242</c:v>
                </c:pt>
                <c:pt idx="4">
                  <c:v>-9.9968272798752977</c:v>
                </c:pt>
                <c:pt idx="5">
                  <c:v>-9.1219958378088091</c:v>
                </c:pt>
                <c:pt idx="6">
                  <c:v>-8.2037004187843685</c:v>
                </c:pt>
                <c:pt idx="7">
                  <c:v>-8.4912883259990686</c:v>
                </c:pt>
                <c:pt idx="8">
                  <c:v>-18.572366022602989</c:v>
                </c:pt>
                <c:pt idx="9">
                  <c:v>-17.755141326317819</c:v>
                </c:pt>
                <c:pt idx="10">
                  <c:v>-18.487303949882257</c:v>
                </c:pt>
                <c:pt idx="11">
                  <c:v>-19.401486516240844</c:v>
                </c:pt>
                <c:pt idx="12">
                  <c:v>-21.813847818116322</c:v>
                </c:pt>
                <c:pt idx="13">
                  <c:v>-24.978140583909347</c:v>
                </c:pt>
                <c:pt idx="14">
                  <c:v>-27.638193134549635</c:v>
                </c:pt>
                <c:pt idx="15">
                  <c:v>-30.441815834320952</c:v>
                </c:pt>
              </c:numCache>
              <c:extLst/>
            </c:numRef>
          </c:val>
          <c:extLst>
            <c:ext xmlns:c16="http://schemas.microsoft.com/office/drawing/2014/chart" uri="{C3380CC4-5D6E-409C-BE32-E72D297353CC}">
              <c16:uniqueId val="{00000007-5153-45B0-A6A0-B6A79D6829DB}"/>
            </c:ext>
          </c:extLst>
        </c:ser>
        <c:dLbls>
          <c:showLegendKey val="0"/>
          <c:showVal val="0"/>
          <c:showCatName val="0"/>
          <c:showSerName val="0"/>
          <c:showPercent val="0"/>
          <c:showBubbleSize val="0"/>
        </c:dLbls>
        <c:gapWidth val="0"/>
        <c:overlap val="91"/>
        <c:axId val="434085512"/>
        <c:axId val="434085904"/>
        <c:extLst>
          <c:ext xmlns:c15="http://schemas.microsoft.com/office/drawing/2012/chart" uri="{02D57815-91ED-43cb-92C2-25804820EDAC}">
            <c15:filteredBarSeries>
              <c15:ser>
                <c:idx val="1"/>
                <c:order val="1"/>
                <c:tx>
                  <c:strRef>
                    <c:extLst>
                      <c:ext uri="{02D57815-91ED-43cb-92C2-25804820EDAC}">
                        <c15:formulaRef>
                          <c15:sqref>Joonised!$M$381</c15:sqref>
                        </c15:formulaRef>
                      </c:ext>
                    </c:extLst>
                    <c:strCache>
                      <c:ptCount val="1"/>
                      <c:pt idx="0">
                        <c:v>Keskvalitsus (EFSF-ta)</c:v>
                      </c:pt>
                    </c:strCache>
                  </c:strRef>
                </c:tx>
                <c:spPr>
                  <a:solidFill>
                    <a:schemeClr val="accent3"/>
                  </a:solidFill>
                  <a:ln>
                    <a:noFill/>
                  </a:ln>
                  <a:effectLst/>
                </c:spPr>
                <c:invertIfNegative val="0"/>
                <c:cat>
                  <c:strRef>
                    <c:extLst>
                      <c:ext uri="{02D57815-91ED-43cb-92C2-25804820EDAC}">
                        <c15:formulaRef>
                          <c15:sqref>Joonised!$K$387:$K$402</c15:sqref>
                        </c15:formulaRef>
                      </c:ext>
                    </c:extLst>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extLst>
                      <c:ext uri="{02D57815-91ED-43cb-92C2-25804820EDAC}">
                        <c15:formulaRef>
                          <c15:sqref>Joonised!$M$387:$M$402</c15:sqref>
                        </c15:formulaRef>
                      </c:ext>
                    </c:extLst>
                    <c:numCache>
                      <c:formatCode>0.0</c:formatCode>
                      <c:ptCount val="16"/>
                      <c:pt idx="0">
                        <c:v>-4.6899969860352968</c:v>
                      </c:pt>
                      <c:pt idx="1">
                        <c:v>-4.2071165260063044</c:v>
                      </c:pt>
                      <c:pt idx="2">
                        <c:v>-4.4418927385002149</c:v>
                      </c:pt>
                      <c:pt idx="3">
                        <c:v>-4.3429158608521998</c:v>
                      </c:pt>
                      <c:pt idx="4">
                        <c:v>-4.6434941350659145</c:v>
                      </c:pt>
                      <c:pt idx="5">
                        <c:v>-4.035321650946563</c:v>
                      </c:pt>
                      <c:pt idx="6">
                        <c:v>-3.6123522917453981</c:v>
                      </c:pt>
                      <c:pt idx="7">
                        <c:v>-4.0656824872097603</c:v>
                      </c:pt>
                      <c:pt idx="8">
                        <c:v>-13.597132034269046</c:v>
                      </c:pt>
                      <c:pt idx="9">
                        <c:v>-13.301509060284259</c:v>
                      </c:pt>
                      <c:pt idx="10">
                        <c:v>-14.403010177389255</c:v>
                      </c:pt>
                      <c:pt idx="11">
                        <c:v>-15.469193495232153</c:v>
                      </c:pt>
                      <c:pt idx="12">
                        <c:v>-17.908333359135732</c:v>
                      </c:pt>
                      <c:pt idx="13">
                        <c:v>-21.062682531999542</c:v>
                      </c:pt>
                      <c:pt idx="14">
                        <c:v>-23.711366062165876</c:v>
                      </c:pt>
                      <c:pt idx="15">
                        <c:v>-26.485048100129521</c:v>
                      </c:pt>
                    </c:numCache>
                  </c:numRef>
                </c:val>
                <c:extLst>
                  <c:ext xmlns:c16="http://schemas.microsoft.com/office/drawing/2014/chart" uri="{C3380CC4-5D6E-409C-BE32-E72D297353CC}">
                    <c16:uniqueId val="{0000000C-5153-45B0-A6A0-B6A79D6829D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Joonised!$N$381</c15:sqref>
                        </c15:formulaRef>
                      </c:ext>
                    </c:extLst>
                    <c:strCache>
                      <c:ptCount val="1"/>
                      <c:pt idx="0">
                        <c:v>Keskvalitsus</c:v>
                      </c:pt>
                    </c:strCache>
                  </c:strRef>
                </c:tx>
                <c:spPr>
                  <a:solidFill>
                    <a:schemeClr val="accent5"/>
                  </a:solidFill>
                  <a:ln>
                    <a:noFill/>
                  </a:ln>
                  <a:effectLst/>
                </c:spPr>
                <c:invertIfNegative val="0"/>
                <c:cat>
                  <c:strRef>
                    <c:extLst xmlns:c15="http://schemas.microsoft.com/office/drawing/2012/chart">
                      <c:ext xmlns:c15="http://schemas.microsoft.com/office/drawing/2012/chart" uri="{02D57815-91ED-43cb-92C2-25804820EDAC}">
                        <c15:formulaRef>
                          <c15:sqref>Joonised!$K$387:$K$402</c15:sqref>
                        </c15:formulaRef>
                      </c:ext>
                    </c:extLst>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extLst xmlns:c15="http://schemas.microsoft.com/office/drawing/2012/chart">
                      <c:ext xmlns:c15="http://schemas.microsoft.com/office/drawing/2012/chart" uri="{02D57815-91ED-43cb-92C2-25804820EDAC}">
                        <c15:formulaRef>
                          <c15:sqref>Joonised!$N$387:$N$402</c15:sqref>
                        </c15:formulaRef>
                      </c:ext>
                    </c:extLst>
                    <c:numCache>
                      <c:formatCode>0.0</c:formatCode>
                      <c:ptCount val="16"/>
                      <c:pt idx="0">
                        <c:v>5.0869026489400886</c:v>
                      </c:pt>
                      <c:pt idx="1">
                        <c:v>4.6983734162489172</c:v>
                      </c:pt>
                      <c:pt idx="2">
                        <c:v>5.7715904669745903</c:v>
                      </c:pt>
                      <c:pt idx="3">
                        <c:v>3.6716057640575248</c:v>
                      </c:pt>
                      <c:pt idx="4">
                        <c:v>3.6417309257445547</c:v>
                      </c:pt>
                      <c:pt idx="5">
                        <c:v>2.9840225563909772</c:v>
                      </c:pt>
                      <c:pt idx="6">
                        <c:v>2.1432813259191268</c:v>
                      </c:pt>
                      <c:pt idx="7">
                        <c:v>3.0950592107616908</c:v>
                      </c:pt>
                      <c:pt idx="8">
                        <c:v>7.2783448778709463</c:v>
                      </c:pt>
                      <c:pt idx="9">
                        <c:v>5.7942186146491697</c:v>
                      </c:pt>
                      <c:pt idx="10">
                        <c:v>6.9825498733727276</c:v>
                      </c:pt>
                      <c:pt idx="11">
                        <c:v>3.2960941627458542</c:v>
                      </c:pt>
                      <c:pt idx="12">
                        <c:v>3.197487469319106</c:v>
                      </c:pt>
                      <c:pt idx="13">
                        <c:v>3.5158904423848778</c:v>
                      </c:pt>
                      <c:pt idx="14">
                        <c:v>3.8169256066366821</c:v>
                      </c:pt>
                      <c:pt idx="15">
                        <c:v>4.2710894263043109</c:v>
                      </c:pt>
                    </c:numCache>
                  </c:numRef>
                </c:val>
                <c:extLst xmlns:c15="http://schemas.microsoft.com/office/drawing/2012/chart">
                  <c:ext xmlns:c16="http://schemas.microsoft.com/office/drawing/2014/chart" uri="{C3380CC4-5D6E-409C-BE32-E72D297353CC}">
                    <c16:uniqueId val="{0000000D-5153-45B0-A6A0-B6A79D6829DB}"/>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Joonised!$O$381</c15:sqref>
                        </c15:formulaRef>
                      </c:ext>
                    </c:extLst>
                    <c:strCache>
                      <c:ptCount val="1"/>
                      <c:pt idx="0">
                        <c:v>Sotsiaalkindlustusfondid</c:v>
                      </c:pt>
                    </c:strCache>
                  </c:strRef>
                </c:tx>
                <c:spPr>
                  <a:solidFill>
                    <a:schemeClr val="accent1">
                      <a:lumMod val="60000"/>
                    </a:schemeClr>
                  </a:solidFill>
                  <a:ln>
                    <a:noFill/>
                  </a:ln>
                  <a:effectLst/>
                </c:spPr>
                <c:invertIfNegative val="0"/>
                <c:dLbls>
                  <c:dLbl>
                    <c:idx val="11"/>
                    <c:layout>
                      <c:manualLayout>
                        <c:x val="8.4541062801932368E-2"/>
                        <c:y val="-7.035814071628145E-2"/>
                      </c:manualLayout>
                    </c:layout>
                    <c:tx>
                      <c:rich>
                        <a:bodyPr/>
                        <a:lstStyle/>
                        <a:p>
                          <a:r>
                            <a:rPr lang="en-US"/>
                            <a:t>6,3%</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0E-5153-45B0-A6A0-B6A79D6829D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Joonised!$K$387:$K$402</c15:sqref>
                        </c15:formulaRef>
                      </c:ext>
                    </c:extLst>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extLst xmlns:c15="http://schemas.microsoft.com/office/drawing/2012/chart">
                      <c:ext xmlns:c15="http://schemas.microsoft.com/office/drawing/2012/chart" uri="{02D57815-91ED-43cb-92C2-25804820EDAC}">
                        <c15:formulaRef>
                          <c15:sqref>Joonised!$O$387:$O$402</c15:sqref>
                        </c15:formulaRef>
                      </c:ext>
                    </c:extLst>
                    <c:numCache>
                      <c:formatCode>0.0</c:formatCode>
                      <c:ptCount val="16"/>
                      <c:pt idx="0">
                        <c:v>3.7730372950224931</c:v>
                      </c:pt>
                      <c:pt idx="1">
                        <c:v>3.8877255324999478</c:v>
                      </c:pt>
                      <c:pt idx="2">
                        <c:v>3.9375105994553121</c:v>
                      </c:pt>
                      <c:pt idx="3">
                        <c:v>3.9556402165641527</c:v>
                      </c:pt>
                      <c:pt idx="4">
                        <c:v>3.7796752789924546</c:v>
                      </c:pt>
                      <c:pt idx="5">
                        <c:v>3.768209586466166</c:v>
                      </c:pt>
                      <c:pt idx="6">
                        <c:v>3.7844841548345296</c:v>
                      </c:pt>
                      <c:pt idx="7">
                        <c:v>3.8005795857035527</c:v>
                      </c:pt>
                      <c:pt idx="8">
                        <c:v>2.9243528982865472</c:v>
                      </c:pt>
                      <c:pt idx="9">
                        <c:v>2.9147550450768391</c:v>
                      </c:pt>
                      <c:pt idx="10">
                        <c:v>3.1026458435153503</c:v>
                      </c:pt>
                      <c:pt idx="11">
                        <c:v>3.1284245051401887</c:v>
                      </c:pt>
                      <c:pt idx="12">
                        <c:v>2.9658672899291942</c:v>
                      </c:pt>
                      <c:pt idx="13">
                        <c:v>2.5678066651917244</c:v>
                      </c:pt>
                      <c:pt idx="14">
                        <c:v>2.1510615618013937</c:v>
                      </c:pt>
                      <c:pt idx="15">
                        <c:v>1.6681837601641571</c:v>
                      </c:pt>
                    </c:numCache>
                  </c:numRef>
                </c:val>
                <c:extLst xmlns:c15="http://schemas.microsoft.com/office/drawing/2012/chart">
                  <c:ext xmlns:c16="http://schemas.microsoft.com/office/drawing/2014/chart" uri="{C3380CC4-5D6E-409C-BE32-E72D297353CC}">
                    <c16:uniqueId val="{0000000F-5153-45B0-A6A0-B6A79D6829DB}"/>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Joonised!$P$381</c15:sqref>
                        </c15:formulaRef>
                      </c:ext>
                    </c:extLst>
                    <c:strCache>
                      <c:ptCount val="1"/>
                      <c:pt idx="0">
                        <c:v>Kohalikud omavalitsused</c:v>
                      </c:pt>
                    </c:strCache>
                  </c:strRef>
                </c:tx>
                <c:spPr>
                  <a:solidFill>
                    <a:schemeClr val="accent3">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Joonised!$K$387:$K$402</c15:sqref>
                        </c15:formulaRef>
                      </c:ext>
                    </c:extLst>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extLst xmlns:c15="http://schemas.microsoft.com/office/drawing/2012/chart">
                      <c:ext xmlns:c15="http://schemas.microsoft.com/office/drawing/2012/chart" uri="{02D57815-91ED-43cb-92C2-25804820EDAC}">
                        <c15:formulaRef>
                          <c15:sqref>Joonised!$P$387:$P$402</c15:sqref>
                        </c15:formulaRef>
                      </c:ext>
                    </c:extLst>
                    <c:numCache>
                      <c:formatCode>0.0</c:formatCode>
                      <c:ptCount val="16"/>
                      <c:pt idx="0">
                        <c:v>-3.1668955047274592</c:v>
                      </c:pt>
                      <c:pt idx="1">
                        <c:v>-3.5974152336231149</c:v>
                      </c:pt>
                      <c:pt idx="2">
                        <c:v>-3.7644277291726937</c:v>
                      </c:pt>
                      <c:pt idx="3">
                        <c:v>-3.5228027317716286</c:v>
                      </c:pt>
                      <c:pt idx="4">
                        <c:v>-3.262843768823656</c:v>
                      </c:pt>
                      <c:pt idx="5">
                        <c:v>-3.1791252685284648</c:v>
                      </c:pt>
                      <c:pt idx="6">
                        <c:v>-2.8381703056431768</c:v>
                      </c:pt>
                      <c:pt idx="7">
                        <c:v>-2.6993667489535258</c:v>
                      </c:pt>
                      <c:pt idx="8">
                        <c:v>-3.2019686474662774</c:v>
                      </c:pt>
                      <c:pt idx="9">
                        <c:v>-2.9153967082678305</c:v>
                      </c:pt>
                      <c:pt idx="10">
                        <c:v>-2.7452570311458655</c:v>
                      </c:pt>
                      <c:pt idx="11">
                        <c:v>-2.8049468322882838</c:v>
                      </c:pt>
                      <c:pt idx="12">
                        <c:v>-2.8858524396301153</c:v>
                      </c:pt>
                      <c:pt idx="13">
                        <c:v>-2.9829655882016688</c:v>
                      </c:pt>
                      <c:pt idx="14">
                        <c:v>-3.0369416744855875</c:v>
                      </c:pt>
                      <c:pt idx="15">
                        <c:v>-3.1047881674605167</c:v>
                      </c:pt>
                    </c:numCache>
                  </c:numRef>
                </c:val>
                <c:extLst xmlns:c15="http://schemas.microsoft.com/office/drawing/2012/chart">
                  <c:ext xmlns:c16="http://schemas.microsoft.com/office/drawing/2014/chart" uri="{C3380CC4-5D6E-409C-BE32-E72D297353CC}">
                    <c16:uniqueId val="{00000010-5153-45B0-A6A0-B6A79D6829DB}"/>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Joonised!$Q$381</c15:sqref>
                        </c15:formulaRef>
                      </c:ext>
                    </c:extLst>
                    <c:strCache>
                      <c:ptCount val="1"/>
                      <c:pt idx="0">
                        <c:v>KOV-d</c:v>
                      </c:pt>
                    </c:strCache>
                  </c:strRef>
                </c:tx>
                <c:spPr>
                  <a:solidFill>
                    <a:schemeClr val="accent5">
                      <a:lumMod val="60000"/>
                    </a:schemeClr>
                  </a:solidFill>
                  <a:ln>
                    <a:noFill/>
                  </a:ln>
                  <a:effectLst/>
                </c:spPr>
                <c:invertIfNegative val="0"/>
                <c:dLbls>
                  <c:dLbl>
                    <c:idx val="3"/>
                    <c:layout>
                      <c:manualLayout>
                        <c:x val="0.24154589371980675"/>
                        <c:y val="-3.6043377642311046E-3"/>
                      </c:manualLayout>
                    </c:layout>
                    <c:tx>
                      <c:rich>
                        <a:bodyPr/>
                        <a:lstStyle/>
                        <a:p>
                          <a:r>
                            <a:rPr lang="en-US"/>
                            <a:t>8,0%</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1-5153-45B0-A6A0-B6A79D6829D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Joonised!$K$387:$K$402</c15:sqref>
                        </c15:formulaRef>
                      </c:ext>
                    </c:extLst>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extLst xmlns:c15="http://schemas.microsoft.com/office/drawing/2012/chart">
                      <c:ext xmlns:c15="http://schemas.microsoft.com/office/drawing/2012/chart" uri="{02D57815-91ED-43cb-92C2-25804820EDAC}">
                        <c15:formulaRef>
                          <c15:sqref>Joonised!$Q$387:$Q$402</c15:sqref>
                        </c15:formulaRef>
                      </c:ext>
                    </c:extLst>
                    <c:numCache>
                      <c:formatCode>0.0</c:formatCode>
                      <c:ptCount val="16"/>
                      <c:pt idx="0">
                        <c:v>0.75572374222787819</c:v>
                      </c:pt>
                      <c:pt idx="1">
                        <c:v>0.66681473020707738</c:v>
                      </c:pt>
                      <c:pt idx="2">
                        <c:v>0.99360541095958732</c:v>
                      </c:pt>
                      <c:pt idx="3">
                        <c:v>0.96843146093556887</c:v>
                      </c:pt>
                      <c:pt idx="4">
                        <c:v>1.0511359717489963</c:v>
                      </c:pt>
                      <c:pt idx="5">
                        <c:v>0.97593313641245982</c:v>
                      </c:pt>
                      <c:pt idx="6">
                        <c:v>1.0832092919227831</c:v>
                      </c:pt>
                      <c:pt idx="7">
                        <c:v>1.1162391327680585</c:v>
                      </c:pt>
                      <c:pt idx="8">
                        <c:v>1.8355814801312431</c:v>
                      </c:pt>
                      <c:pt idx="9">
                        <c:v>1.2342391478712824</c:v>
                      </c:pt>
                      <c:pt idx="10">
                        <c:v>1.029957346603279</c:v>
                      </c:pt>
                      <c:pt idx="11">
                        <c:v>0.89243620027116677</c:v>
                      </c:pt>
                      <c:pt idx="12">
                        <c:v>0.77009158177451909</c:v>
                      </c:pt>
                      <c:pt idx="13">
                        <c:v>0.66742883274265474</c:v>
                      </c:pt>
                      <c:pt idx="14">
                        <c:v>0.58936481267319818</c:v>
                      </c:pt>
                      <c:pt idx="15">
                        <c:v>0.51495780061836727</c:v>
                      </c:pt>
                    </c:numCache>
                  </c:numRef>
                </c:val>
                <c:extLst xmlns:c15="http://schemas.microsoft.com/office/drawing/2012/chart">
                  <c:ext xmlns:c16="http://schemas.microsoft.com/office/drawing/2014/chart" uri="{C3380CC4-5D6E-409C-BE32-E72D297353CC}">
                    <c16:uniqueId val="{00000012-5153-45B0-A6A0-B6A79D6829DB}"/>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Joonised!$R$381</c15:sqref>
                        </c15:formulaRef>
                      </c:ext>
                    </c:extLst>
                    <c:strCache>
                      <c:ptCount val="1"/>
                      <c:pt idx="0">
                        <c:v>EFSF</c:v>
                      </c:pt>
                    </c:strCache>
                  </c:strRef>
                </c:tx>
                <c:spPr>
                  <a:solidFill>
                    <a:schemeClr val="accent1">
                      <a:lumMod val="80000"/>
                      <a:lumOff val="20000"/>
                    </a:schemeClr>
                  </a:solidFill>
                  <a:ln>
                    <a:noFill/>
                  </a:ln>
                  <a:effectLst/>
                </c:spPr>
                <c:invertIfNegative val="0"/>
                <c:dLbls>
                  <c:dLbl>
                    <c:idx val="3"/>
                    <c:layout>
                      <c:manualLayout>
                        <c:x val="0.24959742351046699"/>
                        <c:y val="-5.2387604775209551E-4"/>
                      </c:manualLayout>
                    </c:layout>
                    <c:tx>
                      <c:rich>
                        <a:bodyPr/>
                        <a:lstStyle/>
                        <a:p>
                          <a:r>
                            <a:rPr lang="en-US"/>
                            <a:t>8,4%</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3-5153-45B0-A6A0-B6A79D6829DB}"/>
                      </c:ext>
                    </c:extLst>
                  </c:dLbl>
                  <c:dLbl>
                    <c:idx val="11"/>
                    <c:layout>
                      <c:manualLayout>
                        <c:x val="8.0515297906602251E-2"/>
                        <c:y val="-5.5514633251488726E-2"/>
                      </c:manualLayout>
                    </c:layout>
                    <c:tx>
                      <c:rich>
                        <a:bodyPr/>
                        <a:lstStyle/>
                        <a:p>
                          <a:r>
                            <a:rPr lang="en-US"/>
                            <a:t>31,3%</a:t>
                          </a:r>
                        </a:p>
                      </c:rich>
                    </c:tx>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14-5153-45B0-A6A0-B6A79D6829D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extLst xmlns:c15="http://schemas.microsoft.com/office/drawing/2012/chart">
                      <c:ext xmlns:c15="http://schemas.microsoft.com/office/drawing/2012/chart" uri="{02D57815-91ED-43cb-92C2-25804820EDAC}">
                        <c15:formulaRef>
                          <c15:sqref>Joonised!$K$387:$K$402</c15:sqref>
                        </c15:formulaRef>
                      </c:ext>
                    </c:extLst>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strRef>
                </c:cat>
                <c:val>
                  <c:numRef>
                    <c:extLst xmlns:c15="http://schemas.microsoft.com/office/drawing/2012/chart">
                      <c:ext xmlns:c15="http://schemas.microsoft.com/office/drawing/2012/chart" uri="{02D57815-91ED-43cb-92C2-25804820EDAC}">
                        <c15:formulaRef>
                          <c15:sqref>Joonised!$R$387:$R$402</c15:sqref>
                        </c15:formulaRef>
                      </c:ext>
                    </c:extLst>
                    <c:numCache>
                      <c:formatCode>0.0</c:formatCode>
                      <c:ptCount val="16"/>
                      <c:pt idx="0">
                        <c:v>-1.9803534152685223</c:v>
                      </c:pt>
                      <c:pt idx="1">
                        <c:v>-2.4234860926031687</c:v>
                      </c:pt>
                      <c:pt idx="2">
                        <c:v>-2.4175759419798286</c:v>
                      </c:pt>
                      <c:pt idx="3">
                        <c:v>-2.2034481588654136</c:v>
                      </c:pt>
                      <c:pt idx="4">
                        <c:v>-2.0904893759857273</c:v>
                      </c:pt>
                      <c:pt idx="5">
                        <c:v>-1.907548918333781</c:v>
                      </c:pt>
                      <c:pt idx="6">
                        <c:v>-1.7531778213957936</c:v>
                      </c:pt>
                      <c:pt idx="7">
                        <c:v>-1.7262390898357838</c:v>
                      </c:pt>
                      <c:pt idx="8">
                        <c:v>-1.7732653408676631</c:v>
                      </c:pt>
                      <c:pt idx="9">
                        <c:v>-1.538235557765729</c:v>
                      </c:pt>
                      <c:pt idx="10">
                        <c:v>-1.3390367413471362</c:v>
                      </c:pt>
                      <c:pt idx="11">
                        <c:v>-1.1273461887204088</c:v>
                      </c:pt>
                      <c:pt idx="12">
                        <c:v>-1.0196620193504766</c:v>
                      </c:pt>
                      <c:pt idx="13">
                        <c:v>-0.93249246370813754</c:v>
                      </c:pt>
                      <c:pt idx="14">
                        <c:v>-0.88988539789817356</c:v>
                      </c:pt>
                      <c:pt idx="15">
                        <c:v>-0.85197956673091402</c:v>
                      </c:pt>
                    </c:numCache>
                  </c:numRef>
                </c:val>
                <c:extLst xmlns:c15="http://schemas.microsoft.com/office/drawing/2012/chart">
                  <c:ext xmlns:c16="http://schemas.microsoft.com/office/drawing/2014/chart" uri="{C3380CC4-5D6E-409C-BE32-E72D297353CC}">
                    <c16:uniqueId val="{00000015-5153-45B0-A6A0-B6A79D6829DB}"/>
                  </c:ext>
                </c:extLst>
              </c15:ser>
            </c15:filteredBarSeries>
          </c:ext>
        </c:extLst>
      </c:barChart>
      <c:lineChart>
        <c:grouping val="standard"/>
        <c:varyColors val="0"/>
        <c:ser>
          <c:idx val="0"/>
          <c:order val="0"/>
          <c:tx>
            <c:strRef>
              <c:f>Joonised!$L$381</c:f>
              <c:strCache>
                <c:ptCount val="1"/>
                <c:pt idx="0">
                  <c:v>Netovarad(+)/-võlg(-)</c:v>
                </c:pt>
              </c:strCache>
            </c:strRef>
          </c:tx>
          <c:spPr>
            <a:ln w="28575" cap="rnd" cmpd="sng" algn="ctr">
              <a:solidFill>
                <a:schemeClr val="accent1">
                  <a:shade val="95000"/>
                  <a:satMod val="105000"/>
                </a:schemeClr>
              </a:solidFill>
              <a:prstDash val="solid"/>
              <a:round/>
            </a:ln>
            <a:effectLst/>
          </c:spPr>
          <c:marker>
            <c:symbol val="circle"/>
            <c:size val="5"/>
            <c:spPr>
              <a:solidFill>
                <a:schemeClr val="accent1"/>
              </a:solidFill>
              <a:ln w="9525" cap="flat" cmpd="sng" algn="ctr">
                <a:solidFill>
                  <a:schemeClr val="accent1">
                    <a:shade val="95000"/>
                    <a:satMod val="105000"/>
                  </a:schemeClr>
                </a:solidFill>
                <a:prstDash val="solid"/>
                <a:round/>
              </a:ln>
              <a:effectLst/>
            </c:spPr>
          </c:marker>
          <c:dLbls>
            <c:dLbl>
              <c:idx val="10"/>
              <c:layout>
                <c:manualLayout>
                  <c:x val="-5.6182221969384154E-2"/>
                  <c:y val="-4.2990660532881086E-2"/>
                </c:manualLayout>
              </c:layout>
              <c:tx>
                <c:rich>
                  <a:bodyPr/>
                  <a:lstStyle/>
                  <a:p>
                    <a:fld id="{609BE08D-1CDE-4A48-917D-8852282062F7}"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5153-45B0-A6A0-B6A79D6829DB}"/>
                </c:ext>
              </c:extLst>
            </c:dLbl>
            <c:dLbl>
              <c:idx val="11"/>
              <c:layout>
                <c:manualLayout>
                  <c:x val="-5.0092151310519292E-2"/>
                  <c:y val="-2.3883700296045047E-2"/>
                </c:manualLayout>
              </c:layout>
              <c:tx>
                <c:rich>
                  <a:bodyPr/>
                  <a:lstStyle/>
                  <a:p>
                    <a:fld id="{32EF66BC-4AA5-4BDC-9B1F-8395B2C2FE2B}"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153-45B0-A6A0-B6A79D6829DB}"/>
                </c:ext>
              </c:extLst>
            </c:dLbl>
            <c:dLbl>
              <c:idx val="15"/>
              <c:tx>
                <c:rich>
                  <a:bodyPr/>
                  <a:lstStyle/>
                  <a:p>
                    <a:fld id="{AF032B54-C2B5-4069-A482-F41F3641058D}" type="VALUE">
                      <a:rPr lang="en-US"/>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5153-45B0-A6A0-B6A79D6829DB}"/>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noFill/>
                      <a:prstDash val="solid"/>
                      <a:round/>
                    </a:ln>
                    <a:effectLst/>
                  </c:spPr>
                </c15:leaderLines>
              </c:ext>
            </c:extLst>
          </c:dLbls>
          <c:cat>
            <c:strRef>
              <c:f>Joonised!$K$387:$K$402</c:f>
              <c:strCache>
                <c:ptCount val="16"/>
                <c:pt idx="0">
                  <c:v> '12</c:v>
                </c:pt>
                <c:pt idx="1">
                  <c:v> '13</c:v>
                </c:pt>
                <c:pt idx="2">
                  <c:v> '14</c:v>
                </c:pt>
                <c:pt idx="3">
                  <c:v> '15</c:v>
                </c:pt>
                <c:pt idx="4">
                  <c:v> '16</c:v>
                </c:pt>
                <c:pt idx="5">
                  <c:v> '17</c:v>
                </c:pt>
                <c:pt idx="6">
                  <c:v> '18</c:v>
                </c:pt>
                <c:pt idx="7">
                  <c:v> '19</c:v>
                </c:pt>
                <c:pt idx="8">
                  <c:v> '20</c:v>
                </c:pt>
                <c:pt idx="9">
                  <c:v> '21</c:v>
                </c:pt>
                <c:pt idx="10">
                  <c:v> '22</c:v>
                </c:pt>
                <c:pt idx="11">
                  <c:v> '23</c:v>
                </c:pt>
                <c:pt idx="12">
                  <c:v> '24</c:v>
                </c:pt>
                <c:pt idx="13">
                  <c:v> '25</c:v>
                </c:pt>
                <c:pt idx="14">
                  <c:v> '26</c:v>
                </c:pt>
                <c:pt idx="15">
                  <c:v> '27</c:v>
                </c:pt>
              </c:strCache>
              <c:extLst/>
            </c:strRef>
          </c:cat>
          <c:val>
            <c:numRef>
              <c:f>Joonised!$L$387:$L$402</c:f>
              <c:numCache>
                <c:formatCode>0.0</c:formatCode>
                <c:ptCount val="16"/>
                <c:pt idx="0">
                  <c:v>-0.22158221984081905</c:v>
                </c:pt>
                <c:pt idx="1">
                  <c:v>-0.97510417327664634</c:v>
                </c:pt>
                <c:pt idx="2">
                  <c:v>7.8810067736753808E-2</c:v>
                </c:pt>
                <c:pt idx="3">
                  <c:v>-1.4734893099319937</c:v>
                </c:pt>
                <c:pt idx="4">
                  <c:v>-1.5242851033892926</c:v>
                </c:pt>
                <c:pt idx="5">
                  <c:v>-1.3938305585392037</c:v>
                </c:pt>
                <c:pt idx="6">
                  <c:v>-1.1927256461079283</c:v>
                </c:pt>
                <c:pt idx="7">
                  <c:v>-0.47941039676576835</c:v>
                </c:pt>
                <c:pt idx="8">
                  <c:v>-6.5340867663142514</c:v>
                </c:pt>
                <c:pt idx="9">
                  <c:v>-7.8119285187205243</c:v>
                </c:pt>
                <c:pt idx="10">
                  <c:v>-7.3721508863909015</c:v>
                </c:pt>
                <c:pt idx="11">
                  <c:v>-12.084531648083637</c:v>
                </c:pt>
                <c:pt idx="12">
                  <c:v>-14.880401477093507</c:v>
                </c:pt>
                <c:pt idx="13">
                  <c:v>-18.227014643590095</c:v>
                </c:pt>
                <c:pt idx="14">
                  <c:v>-21.080841153438357</c:v>
                </c:pt>
                <c:pt idx="15">
                  <c:v>-23.987584847234121</c:v>
                </c:pt>
              </c:numCache>
              <c:extLst/>
            </c:numRef>
          </c:val>
          <c:smooth val="0"/>
          <c:extLst>
            <c:ext xmlns:c16="http://schemas.microsoft.com/office/drawing/2014/chart" uri="{C3380CC4-5D6E-409C-BE32-E72D297353CC}">
              <c16:uniqueId val="{0000000B-5153-45B0-A6A0-B6A79D6829DB}"/>
            </c:ext>
          </c:extLst>
        </c:ser>
        <c:dLbls>
          <c:showLegendKey val="0"/>
          <c:showVal val="0"/>
          <c:showCatName val="0"/>
          <c:showSerName val="0"/>
          <c:showPercent val="0"/>
          <c:showBubbleSize val="0"/>
        </c:dLbls>
        <c:marker val="1"/>
        <c:smooth val="0"/>
        <c:axId val="434085512"/>
        <c:axId val="434085904"/>
      </c:lineChart>
      <c:catAx>
        <c:axId val="434085512"/>
        <c:scaling>
          <c:orientation val="minMax"/>
        </c:scaling>
        <c:delete val="0"/>
        <c:axPos val="b"/>
        <c:title>
          <c:tx>
            <c:rich>
              <a:bodyPr rot="-540000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Võlg</a:t>
                </a:r>
              </a:p>
            </c:rich>
          </c:tx>
          <c:layout>
            <c:manualLayout>
              <c:xMode val="edge"/>
              <c:yMode val="edge"/>
              <c:x val="0"/>
              <c:y val="0.49426824440241052"/>
            </c:manualLayout>
          </c:layout>
          <c:overlay val="0"/>
          <c:spPr>
            <a:noFill/>
            <a:ln>
              <a:noFill/>
            </a:ln>
            <a:effectLst/>
          </c:spPr>
          <c:txPr>
            <a:bodyPr rot="-540000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numFmt formatCode="General" sourceLinked="1"/>
        <c:majorTickMark val="out"/>
        <c:minorTickMark val="none"/>
        <c:tickLblPos val="low"/>
        <c:spPr>
          <a:noFill/>
          <a:ln w="2570" cap="flat" cmpd="sng" algn="ctr">
            <a:solidFill>
              <a:srgbClr val="000000"/>
            </a:solidFill>
            <a:prstDash val="solid"/>
            <a:round/>
          </a:ln>
          <a:effectLst/>
        </c:spPr>
        <c:txPr>
          <a:bodyPr rot="0" spcFirstLastPara="1" vertOverflow="ellipsis"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crossAx val="434085904"/>
        <c:crosses val="autoZero"/>
        <c:auto val="1"/>
        <c:lblAlgn val="ctr"/>
        <c:lblOffset val="100"/>
        <c:noMultiLvlLbl val="0"/>
      </c:catAx>
      <c:valAx>
        <c:axId val="434085904"/>
        <c:scaling>
          <c:orientation val="minMax"/>
          <c:max val="17"/>
          <c:min val="-37"/>
        </c:scaling>
        <c:delete val="0"/>
        <c:axPos val="l"/>
        <c:majorGridlines>
          <c:spPr>
            <a:ln w="2570" cap="flat" cmpd="sng" algn="ctr">
              <a:solidFill>
                <a:schemeClr val="bg1">
                  <a:lumMod val="50000"/>
                  <a:alpha val="50000"/>
                </a:schemeClr>
              </a:solidFill>
              <a:prstDash val="dash"/>
              <a:round/>
            </a:ln>
            <a:effectLst/>
          </c:spPr>
        </c:majorGridlines>
        <c:title>
          <c:tx>
            <c:rich>
              <a:bodyPr rot="-540000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r>
                  <a:rPr lang="et-EE" sz="800"/>
                  <a:t>Reservid</a:t>
                </a:r>
              </a:p>
            </c:rich>
          </c:tx>
          <c:layout>
            <c:manualLayout>
              <c:xMode val="edge"/>
              <c:yMode val="edge"/>
              <c:x val="4.0355125100887809E-3"/>
              <c:y val="0.13807371904598867"/>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title>
        <c:numFmt formatCode="0" sourceLinked="0"/>
        <c:majorTickMark val="in"/>
        <c:minorTickMark val="none"/>
        <c:tickLblPos val="nextTo"/>
        <c:spPr>
          <a:noFill/>
          <a:ln w="2570" cap="flat" cmpd="sng" algn="ctr">
            <a:solidFill>
              <a:srgbClr val="000000"/>
            </a:solidFill>
            <a:prstDash val="sysDash"/>
            <a:round/>
          </a:ln>
          <a:effectLst/>
        </c:spPr>
        <c:txPr>
          <a:bodyPr rot="0" spcFirstLastPara="1" vertOverflow="ellipsis" wrap="square" anchor="ctr" anchorCtr="1"/>
          <a:lstStyle/>
          <a:p>
            <a:pPr>
              <a:defRPr sz="833"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crossAx val="434085512"/>
        <c:crosses val="autoZero"/>
        <c:crossBetween val="between"/>
        <c:majorUnit val="4"/>
        <c:minorUnit val="2"/>
      </c:valAx>
      <c:spPr>
        <a:solidFill>
          <a:schemeClr val="bg1"/>
        </a:solidFill>
        <a:ln>
          <a:noFill/>
        </a:ln>
        <a:effectLst/>
      </c:spPr>
    </c:plotArea>
    <c:legend>
      <c:legendPos val="b"/>
      <c:layout>
        <c:manualLayout>
          <c:xMode val="edge"/>
          <c:yMode val="edge"/>
          <c:x val="9.191269105160213E-2"/>
          <c:y val="0.85400364160608289"/>
          <c:w val="0.82140899064007666"/>
          <c:h val="7.9000134275291428E-2"/>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000000"/>
              </a:solidFill>
              <a:latin typeface="Segoe UI Light" panose="020B0502040204020203" pitchFamily="34" charset="0"/>
              <a:ea typeface="Garamond"/>
              <a:cs typeface="Segoe UI Light" panose="020B0502040204020203" pitchFamily="34" charset="0"/>
            </a:defRPr>
          </a:pPr>
          <a:endParaRPr lang="et-EE"/>
        </a:p>
      </c:txPr>
    </c:legend>
    <c:plotVisOnly val="1"/>
    <c:dispBlanksAs val="gap"/>
    <c:showDLblsOverMax val="0"/>
  </c:chart>
  <c:spPr>
    <a:noFill/>
    <a:ln w="9525" cap="flat" cmpd="sng" algn="ctr">
      <a:noFill/>
      <a:prstDash val="solid"/>
      <a:round/>
    </a:ln>
    <a:effectLst/>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7556817475491548"/>
        </c:manualLayout>
      </c:layout>
      <c:barChart>
        <c:barDir val="col"/>
        <c:grouping val="stacked"/>
        <c:varyColors val="0"/>
        <c:ser>
          <c:idx val="1"/>
          <c:order val="0"/>
          <c:tx>
            <c:strRef>
              <c:f>Joonised!$L$356</c:f>
              <c:strCache>
                <c:ptCount val="1"/>
                <c:pt idx="0">
                  <c:v>Võla tagasimaksed (mln eur)</c:v>
                </c:pt>
              </c:strCache>
            </c:strRef>
          </c:tx>
          <c:spPr>
            <a:solidFill>
              <a:srgbClr val="0070C0"/>
            </a:solidFill>
            <a:ln w="31750">
              <a:noFill/>
              <a:prstDash val="solid"/>
            </a:ln>
          </c:spPr>
          <c:invertIfNegative val="0"/>
          <c:dLbls>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C9C-4545-8F8E-EB8D42B3CD5F}"/>
                </c:ext>
              </c:extLst>
            </c:dLbl>
            <c:dLbl>
              <c:idx val="8"/>
              <c:layout>
                <c:manualLayout>
                  <c:x val="0"/>
                  <c:y val="-0.14554630446152142"/>
                </c:manualLayout>
              </c:layout>
              <c:spPr>
                <a:noFill/>
                <a:ln>
                  <a:noFill/>
                </a:ln>
                <a:effectLst/>
              </c:spPr>
              <c:txPr>
                <a:bodyPr wrap="square" lIns="38100" tIns="19050" rIns="38100" bIns="19050" anchor="ctr">
                  <a:spAutoFit/>
                </a:bodyPr>
                <a:lstStyle/>
                <a:p>
                  <a:pPr>
                    <a:defRPr sz="800">
                      <a:ln>
                        <a:noFill/>
                      </a:ln>
                      <a:latin typeface="Segoe UI Light" panose="020B0502040204020203" pitchFamily="34" charset="0"/>
                      <a:ea typeface="Segoe UI" panose="020B0502040204020203" pitchFamily="34" charset="0"/>
                      <a:cs typeface="Segoe UI" panose="020B0502040204020203" pitchFamily="34" charset="0"/>
                    </a:defRPr>
                  </a:pPr>
                  <a:endParaRPr lang="et-EE"/>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C9C-4545-8F8E-EB8D42B3CD5F}"/>
                </c:ext>
              </c:extLst>
            </c:dLbl>
            <c:dLbl>
              <c:idx val="15"/>
              <c:layout>
                <c:manualLayout>
                  <c:x val="0"/>
                  <c:y val="-0.135025258380729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C9C-4545-8F8E-EB8D42B3CD5F}"/>
                </c:ext>
              </c:extLst>
            </c:dLbl>
            <c:dLbl>
              <c:idx val="16"/>
              <c:layout>
                <c:manualLayout>
                  <c:x val="0"/>
                  <c:y val="-0.3789074834227989"/>
                </c:manualLayout>
              </c:layout>
              <c:tx>
                <c:rich>
                  <a:bodyPr/>
                  <a:lstStyle/>
                  <a:p>
                    <a:r>
                      <a:rPr lang="en-US"/>
                      <a:t>172,4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C9C-4545-8F8E-EB8D42B3CD5F}"/>
                </c:ext>
              </c:extLst>
            </c:dLbl>
            <c:spPr>
              <a:noFill/>
              <a:ln>
                <a:noFill/>
              </a:ln>
              <a:effectLst/>
            </c:spPr>
            <c:txPr>
              <a:bodyPr wrap="square" lIns="38100" tIns="19050" rIns="38100" bIns="19050" anchor="ctr">
                <a:spAutoFit/>
              </a:bodyPr>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Joonised!$K$373:$K$379</c:f>
              <c:strCache>
                <c:ptCount val="7"/>
                <c:pt idx="0">
                  <c:v> '21</c:v>
                </c:pt>
                <c:pt idx="1">
                  <c:v> '22</c:v>
                </c:pt>
                <c:pt idx="2">
                  <c:v> '23</c:v>
                </c:pt>
                <c:pt idx="3">
                  <c:v> '24</c:v>
                </c:pt>
                <c:pt idx="4">
                  <c:v> '25</c:v>
                </c:pt>
                <c:pt idx="5">
                  <c:v> '26</c:v>
                </c:pt>
                <c:pt idx="6">
                  <c:v> '27</c:v>
                </c:pt>
              </c:strCache>
            </c:strRef>
          </c:cat>
          <c:val>
            <c:numRef>
              <c:f>Joonised!$L$373:$L$379</c:f>
              <c:numCache>
                <c:formatCode>0.0</c:formatCode>
                <c:ptCount val="7"/>
                <c:pt idx="0">
                  <c:v>497.36842100000001</c:v>
                </c:pt>
                <c:pt idx="1">
                  <c:v>472.36842100000001</c:v>
                </c:pt>
                <c:pt idx="2">
                  <c:v>418</c:v>
                </c:pt>
                <c:pt idx="3">
                  <c:v>265</c:v>
                </c:pt>
                <c:pt idx="4">
                  <c:v>139.4</c:v>
                </c:pt>
                <c:pt idx="5">
                  <c:v>145.6</c:v>
                </c:pt>
                <c:pt idx="6">
                  <c:v>145.6</c:v>
                </c:pt>
              </c:numCache>
            </c:numRef>
          </c:val>
          <c:extLst>
            <c:ext xmlns:c16="http://schemas.microsoft.com/office/drawing/2014/chart" uri="{C3380CC4-5D6E-409C-BE32-E72D297353CC}">
              <c16:uniqueId val="{00000004-9C9C-4545-8F8E-EB8D42B3CD5F}"/>
            </c:ext>
          </c:extLst>
        </c:ser>
        <c:dLbls>
          <c:showLegendKey val="0"/>
          <c:showVal val="0"/>
          <c:showCatName val="0"/>
          <c:showSerName val="0"/>
          <c:showPercent val="0"/>
          <c:showBubbleSize val="0"/>
        </c:dLbls>
        <c:gapWidth val="0"/>
        <c:overlap val="100"/>
        <c:axId val="434084336"/>
        <c:axId val="434084728"/>
        <c:extLst/>
      </c:barChart>
      <c:catAx>
        <c:axId val="434084336"/>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crossAx val="434084728"/>
        <c:crosses val="autoZero"/>
        <c:auto val="1"/>
        <c:lblAlgn val="ctr"/>
        <c:lblOffset val="100"/>
        <c:tickLblSkip val="1"/>
        <c:noMultiLvlLbl val="0"/>
      </c:catAx>
      <c:valAx>
        <c:axId val="434084728"/>
        <c:scaling>
          <c:orientation val="minMax"/>
          <c:max val="700"/>
          <c:min val="0"/>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3175">
            <a:solidFill>
              <a:schemeClr val="tx1"/>
            </a:solidFill>
            <a:prstDash val="solid"/>
          </a:ln>
        </c:spPr>
        <c:txPr>
          <a:bodyPr rot="0" vert="horz"/>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crossAx val="434084336"/>
        <c:crosses val="autoZero"/>
        <c:crossBetween val="between"/>
        <c:majorUnit val="100"/>
        <c:minorUnit val="10"/>
      </c:valAx>
      <c:spPr>
        <a:ln>
          <a:noFill/>
        </a:ln>
      </c:spPr>
    </c:plotArea>
    <c:legend>
      <c:legendPos val="b"/>
      <c:layout>
        <c:manualLayout>
          <c:xMode val="edge"/>
          <c:yMode val="edge"/>
          <c:x val="1.8676597544512324E-2"/>
          <c:y val="0.82187930347829474"/>
          <c:w val="0.96254598969830762"/>
          <c:h val="0.17498980360544544"/>
        </c:manualLayout>
      </c:layout>
      <c:overlay val="0"/>
      <c:txPr>
        <a:bodyPr/>
        <a:lstStyle/>
        <a:p>
          <a:pPr>
            <a:defRPr sz="800">
              <a:latin typeface="Segoe UI Light" panose="020B0502040204020203" pitchFamily="34" charset="0"/>
              <a:ea typeface="Segoe UI" panose="020B0502040204020203" pitchFamily="34" charset="0"/>
              <a:cs typeface="Segoe UI" panose="020B0502040204020203" pitchFamily="34" charset="0"/>
            </a:defRPr>
          </a:pPr>
          <a:endParaRPr lang="et-EE"/>
        </a:p>
      </c:txPr>
    </c:legend>
    <c:plotVisOnly val="1"/>
    <c:dispBlanksAs val="gap"/>
    <c:showDLblsOverMax val="0"/>
  </c:chart>
  <c:spPr>
    <a:noFill/>
    <a:ln>
      <a:noFill/>
    </a:ln>
  </c:spPr>
  <c:txPr>
    <a:bodyPr/>
    <a:lstStyle/>
    <a:p>
      <a:pPr>
        <a:defRPr sz="833" b="0" i="0" u="none" strike="noStrike" baseline="0">
          <a:solidFill>
            <a:srgbClr val="000000"/>
          </a:solidFill>
          <a:latin typeface="Georgia" panose="02040502050405020303" pitchFamily="18" charset="0"/>
          <a:ea typeface="Garamond"/>
          <a:cs typeface="Garamond"/>
        </a:defRPr>
      </a:pPr>
      <a:endParaRPr lang="et-EE"/>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23076923076927E-2"/>
          <c:y val="6.25E-2"/>
          <c:w val="0.90854820792629121"/>
          <c:h val="0.65647965879265091"/>
        </c:manualLayout>
      </c:layout>
      <c:barChart>
        <c:barDir val="col"/>
        <c:grouping val="stacked"/>
        <c:varyColors val="0"/>
        <c:dLbls>
          <c:showLegendKey val="0"/>
          <c:showVal val="0"/>
          <c:showCatName val="0"/>
          <c:showSerName val="0"/>
          <c:showPercent val="0"/>
          <c:showBubbleSize val="0"/>
        </c:dLbls>
        <c:gapWidth val="150"/>
        <c:overlap val="100"/>
        <c:axId val="205761016"/>
        <c:axId val="205760232"/>
        <c:extLst>
          <c:ext xmlns:c15="http://schemas.microsoft.com/office/drawing/2012/chart" uri="{02D57815-91ED-43cb-92C2-25804820EDAC}">
            <c15:filteredBarSeries>
              <c15:ser>
                <c:idx val="2"/>
                <c:order val="2"/>
                <c:tx>
                  <c:strRef>
                    <c:extLst>
                      <c:ext uri="{02D57815-91ED-43cb-92C2-25804820EDAC}">
                        <c15:formulaRef>
                          <c15:sqref>Joonised!$N$198</c15:sqref>
                        </c15:formulaRef>
                      </c:ext>
                    </c:extLst>
                    <c:strCache>
                      <c:ptCount val="1"/>
                      <c:pt idx="0">
                        <c:v>Erinevus</c:v>
                      </c:pt>
                    </c:strCache>
                  </c:strRef>
                </c:tx>
                <c:spPr>
                  <a:solidFill>
                    <a:schemeClr val="accent2"/>
                  </a:solidFill>
                </c:spPr>
                <c:invertIfNegative val="0"/>
                <c:cat>
                  <c:strRef>
                    <c:extLst>
                      <c:ext uri="{02D57815-91ED-43cb-92C2-25804820EDAC}">
                        <c15:formulaRef>
                          <c15:sqref>Joonised!$K$199:$K$202</c15:sqref>
                        </c15:formulaRef>
                      </c:ext>
                    </c:extLst>
                    <c:strCache>
                      <c:ptCount val="4"/>
                      <c:pt idx="0">
                        <c:v> '22</c:v>
                      </c:pt>
                      <c:pt idx="1">
                        <c:v> '23</c:v>
                      </c:pt>
                      <c:pt idx="2">
                        <c:v> '24</c:v>
                      </c:pt>
                      <c:pt idx="3">
                        <c:v> '25</c:v>
                      </c:pt>
                    </c:strCache>
                  </c:strRef>
                </c:cat>
                <c:val>
                  <c:numRef>
                    <c:extLst>
                      <c:ext uri="{02D57815-91ED-43cb-92C2-25804820EDAC}">
                        <c15:formulaRef>
                          <c15:sqref>Joonised!$N$199:$N$202</c15:sqref>
                        </c15:formulaRef>
                      </c:ext>
                    </c:extLst>
                    <c:numCache>
                      <c:formatCode>0.0</c:formatCode>
                      <c:ptCount val="4"/>
                      <c:pt idx="0">
                        <c:v>-3.8735026316493837E-2</c:v>
                      </c:pt>
                      <c:pt idx="1">
                        <c:v>-0.52491216630460302</c:v>
                      </c:pt>
                      <c:pt idx="2">
                        <c:v>-1.1230669613173205</c:v>
                      </c:pt>
                      <c:pt idx="3">
                        <c:v>0.16809630784342389</c:v>
                      </c:pt>
                    </c:numCache>
                  </c:numRef>
                </c:val>
                <c:extLst>
                  <c:ext xmlns:c16="http://schemas.microsoft.com/office/drawing/2014/chart" uri="{C3380CC4-5D6E-409C-BE32-E72D297353CC}">
                    <c16:uniqueId val="{00000002-D9B0-4087-8FCD-702160B098DF}"/>
                  </c:ext>
                </c:extLst>
              </c15:ser>
            </c15:filteredBarSeries>
          </c:ext>
        </c:extLst>
      </c:barChart>
      <c:lineChart>
        <c:grouping val="standard"/>
        <c:varyColors val="0"/>
        <c:ser>
          <c:idx val="0"/>
          <c:order val="0"/>
          <c:tx>
            <c:strRef>
              <c:f>Joonised!$L$198</c:f>
              <c:strCache>
                <c:ptCount val="1"/>
                <c:pt idx="0">
                  <c:v>Riskistsenaarium</c:v>
                </c:pt>
              </c:strCache>
            </c:strRef>
          </c:tx>
          <c:spPr>
            <a:ln>
              <a:solidFill>
                <a:schemeClr val="accent2"/>
              </a:solidFill>
            </a:ln>
          </c:spPr>
          <c:marker>
            <c:spPr>
              <a:solidFill>
                <a:schemeClr val="accent2"/>
              </a:solidFill>
              <a:ln>
                <a:solidFill>
                  <a:schemeClr val="accent2"/>
                </a:solidFill>
              </a:ln>
            </c:spPr>
          </c:marker>
          <c:cat>
            <c:strRef>
              <c:f>Joonised!$K$199:$K$202</c:f>
              <c:strCache>
                <c:ptCount val="4"/>
                <c:pt idx="0">
                  <c:v> '22</c:v>
                </c:pt>
                <c:pt idx="1">
                  <c:v> '23</c:v>
                </c:pt>
                <c:pt idx="2">
                  <c:v> '24</c:v>
                </c:pt>
                <c:pt idx="3">
                  <c:v> '25</c:v>
                </c:pt>
              </c:strCache>
            </c:strRef>
          </c:cat>
          <c:val>
            <c:numRef>
              <c:f>Joonised!$L$199:$L$202</c:f>
              <c:numCache>
                <c:formatCode>0.0</c:formatCode>
                <c:ptCount val="4"/>
                <c:pt idx="0">
                  <c:v>-0.5</c:v>
                </c:pt>
                <c:pt idx="1">
                  <c:v>-2.5294397759103804</c:v>
                </c:pt>
                <c:pt idx="2">
                  <c:v>1.5731353479775834</c:v>
                </c:pt>
                <c:pt idx="3">
                  <c:v>3.1182071203176287</c:v>
                </c:pt>
              </c:numCache>
            </c:numRef>
          </c:val>
          <c:smooth val="0"/>
          <c:extLst>
            <c:ext xmlns:c16="http://schemas.microsoft.com/office/drawing/2014/chart" uri="{C3380CC4-5D6E-409C-BE32-E72D297353CC}">
              <c16:uniqueId val="{00000000-D9B0-4087-8FCD-702160B098DF}"/>
            </c:ext>
          </c:extLst>
        </c:ser>
        <c:ser>
          <c:idx val="1"/>
          <c:order val="1"/>
          <c:tx>
            <c:strRef>
              <c:f>Joonised!$M$198</c:f>
              <c:strCache>
                <c:ptCount val="1"/>
                <c:pt idx="0">
                  <c:v>Baasprognoos</c:v>
                </c:pt>
              </c:strCache>
            </c:strRef>
          </c:tx>
          <c:spPr>
            <a:ln>
              <a:solidFill>
                <a:schemeClr val="accent1"/>
              </a:solidFill>
            </a:ln>
          </c:spPr>
          <c:marker>
            <c:spPr>
              <a:solidFill>
                <a:schemeClr val="accent1"/>
              </a:solidFill>
              <a:ln>
                <a:solidFill>
                  <a:schemeClr val="accent1"/>
                </a:solidFill>
              </a:ln>
            </c:spPr>
          </c:marker>
          <c:cat>
            <c:strRef>
              <c:f>Joonised!$K$199:$K$202</c:f>
              <c:strCache>
                <c:ptCount val="4"/>
                <c:pt idx="0">
                  <c:v> '22</c:v>
                </c:pt>
                <c:pt idx="1">
                  <c:v> '23</c:v>
                </c:pt>
                <c:pt idx="2">
                  <c:v> '24</c:v>
                </c:pt>
                <c:pt idx="3">
                  <c:v> '25</c:v>
                </c:pt>
              </c:strCache>
            </c:strRef>
          </c:cat>
          <c:val>
            <c:numRef>
              <c:f>Joonised!$M$199:$M$202</c:f>
              <c:numCache>
                <c:formatCode>0.0</c:formatCode>
                <c:ptCount val="4"/>
                <c:pt idx="0">
                  <c:v>-0.46126497368350616</c:v>
                </c:pt>
                <c:pt idx="1">
                  <c:v>-2.0045276096057774</c:v>
                </c:pt>
                <c:pt idx="2">
                  <c:v>2.6962023092949039</c:v>
                </c:pt>
                <c:pt idx="3">
                  <c:v>2.9501108124742048</c:v>
                </c:pt>
              </c:numCache>
            </c:numRef>
          </c:val>
          <c:smooth val="0"/>
          <c:extLst>
            <c:ext xmlns:c16="http://schemas.microsoft.com/office/drawing/2014/chart" uri="{C3380CC4-5D6E-409C-BE32-E72D297353CC}">
              <c16:uniqueId val="{00000001-D9B0-4087-8FCD-702160B098DF}"/>
            </c:ext>
          </c:extLst>
        </c:ser>
        <c:dLbls>
          <c:showLegendKey val="0"/>
          <c:showVal val="0"/>
          <c:showCatName val="0"/>
          <c:showSerName val="0"/>
          <c:showPercent val="0"/>
          <c:showBubbleSize val="0"/>
        </c:dLbls>
        <c:marker val="1"/>
        <c:smooth val="0"/>
        <c:axId val="205761016"/>
        <c:axId val="205760232"/>
      </c:lineChart>
      <c:catAx>
        <c:axId val="205761016"/>
        <c:scaling>
          <c:orientation val="minMax"/>
        </c:scaling>
        <c:delete val="0"/>
        <c:axPos val="b"/>
        <c:numFmt formatCode="General" sourceLinked="1"/>
        <c:majorTickMark val="out"/>
        <c:minorTickMark val="none"/>
        <c:tickLblPos val="low"/>
        <c:spPr>
          <a:ln w="2570">
            <a:solidFill>
              <a:srgbClr val="000000"/>
            </a:solidFill>
            <a:prstDash val="solid"/>
          </a:ln>
        </c:spPr>
        <c:txPr>
          <a:bodyPr rot="0" vert="horz"/>
          <a:lstStyle/>
          <a:p>
            <a:pPr>
              <a:defRPr/>
            </a:pPr>
            <a:endParaRPr lang="et-EE"/>
          </a:p>
        </c:txPr>
        <c:crossAx val="205760232"/>
        <c:crosses val="autoZero"/>
        <c:auto val="1"/>
        <c:lblAlgn val="ctr"/>
        <c:lblOffset val="100"/>
        <c:noMultiLvlLbl val="0"/>
      </c:catAx>
      <c:valAx>
        <c:axId val="205760232"/>
        <c:scaling>
          <c:orientation val="minMax"/>
          <c:max val="4"/>
          <c:min val="-4"/>
        </c:scaling>
        <c:delete val="0"/>
        <c:axPos val="l"/>
        <c:majorGridlines>
          <c:spPr>
            <a:ln w="2570">
              <a:solidFill>
                <a:schemeClr val="bg1">
                  <a:lumMod val="50000"/>
                  <a:alpha val="50000"/>
                </a:schemeClr>
              </a:solidFill>
              <a:prstDash val="dash"/>
            </a:ln>
          </c:spPr>
        </c:majorGridlines>
        <c:numFmt formatCode="0" sourceLinked="0"/>
        <c:majorTickMark val="in"/>
        <c:minorTickMark val="none"/>
        <c:tickLblPos val="nextTo"/>
        <c:spPr>
          <a:ln w="2570">
            <a:solidFill>
              <a:srgbClr val="000000"/>
            </a:solidFill>
            <a:prstDash val="sysDash"/>
          </a:ln>
        </c:spPr>
        <c:txPr>
          <a:bodyPr rot="0" vert="horz"/>
          <a:lstStyle/>
          <a:p>
            <a:pPr>
              <a:defRPr/>
            </a:pPr>
            <a:endParaRPr lang="et-EE"/>
          </a:p>
        </c:txPr>
        <c:crossAx val="205761016"/>
        <c:crosses val="autoZero"/>
        <c:crossBetween val="between"/>
        <c:majorUnit val="2"/>
      </c:valAx>
      <c:spPr>
        <a:ln>
          <a:noFill/>
        </a:ln>
      </c:spPr>
    </c:plotArea>
    <c:legend>
      <c:legendPos val="b"/>
      <c:layout>
        <c:manualLayout>
          <c:xMode val="edge"/>
          <c:yMode val="edge"/>
          <c:x val="1.8018018018018021E-2"/>
          <c:y val="0.81723042432195958"/>
          <c:w val="0.96572355820387912"/>
          <c:h val="0.17137180404896937"/>
        </c:manualLayout>
      </c:layout>
      <c:overlay val="0"/>
    </c:legend>
    <c:plotVisOnly val="1"/>
    <c:dispBlanksAs val="gap"/>
    <c:showDLblsOverMax val="0"/>
  </c:chart>
  <c:spPr>
    <a:noFill/>
    <a:ln>
      <a:noFill/>
    </a:ln>
  </c:spPr>
  <c:txPr>
    <a:bodyPr/>
    <a:lstStyle/>
    <a:p>
      <a:pPr>
        <a:defRPr sz="833" b="0" i="0" u="none" strike="noStrike" baseline="0">
          <a:solidFill>
            <a:srgbClr val="000000"/>
          </a:solidFill>
          <a:latin typeface="Segoe UI Light" panose="020B0502040204020203" pitchFamily="34" charset="0"/>
          <a:ea typeface="Garamond"/>
          <a:cs typeface="Segoe UI Light" panose="020B0502040204020203" pitchFamily="34" charset="0"/>
        </a:defRPr>
      </a:pPr>
      <a:endParaRPr lang="et-EE"/>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042519685039371E-2"/>
          <c:y val="2.9259767672836841E-2"/>
          <c:w val="0.57105070866141727"/>
          <c:h val="0.9391168353582835"/>
        </c:manualLayout>
      </c:layout>
      <c:barChart>
        <c:barDir val="col"/>
        <c:grouping val="stacked"/>
        <c:varyColors val="0"/>
        <c:ser>
          <c:idx val="0"/>
          <c:order val="0"/>
          <c:tx>
            <c:strRef>
              <c:f>Joonised!$L$980</c:f>
              <c:strCache>
                <c:ptCount val="1"/>
                <c:pt idx="0">
                  <c:v>Alkoholi- ja tubakaaktsiiside 5%-lised tõusud 2024-2026</c:v>
                </c:pt>
              </c:strCache>
            </c:strRef>
          </c:tx>
          <c:spPr>
            <a:solidFill>
              <a:schemeClr val="accent1">
                <a:lumMod val="75000"/>
              </a:schemeClr>
            </a:solidFill>
            <a:ln>
              <a:noFill/>
            </a:ln>
            <a:effectLst/>
          </c:spPr>
          <c:invertIfNegative val="0"/>
          <c:cat>
            <c:strRef>
              <c:f>Joonised!$M$979:$Q$979</c:f>
              <c:strCache>
                <c:ptCount val="5"/>
                <c:pt idx="0">
                  <c:v>2023</c:v>
                </c:pt>
                <c:pt idx="1">
                  <c:v>2024</c:v>
                </c:pt>
                <c:pt idx="2">
                  <c:v>2025</c:v>
                </c:pt>
                <c:pt idx="3">
                  <c:v>2026</c:v>
                </c:pt>
                <c:pt idx="4">
                  <c:v>2027</c:v>
                </c:pt>
              </c:strCache>
            </c:strRef>
          </c:cat>
          <c:val>
            <c:numRef>
              <c:f>Joonised!$M$980:$Q$980</c:f>
              <c:numCache>
                <c:formatCode>0.00</c:formatCode>
                <c:ptCount val="5"/>
                <c:pt idx="0" formatCode="General">
                  <c:v>18.2</c:v>
                </c:pt>
                <c:pt idx="1">
                  <c:v>18</c:v>
                </c:pt>
                <c:pt idx="2">
                  <c:v>40</c:v>
                </c:pt>
                <c:pt idx="3">
                  <c:v>37</c:v>
                </c:pt>
                <c:pt idx="4">
                  <c:v>61</c:v>
                </c:pt>
              </c:numCache>
            </c:numRef>
          </c:val>
          <c:extLst>
            <c:ext xmlns:c16="http://schemas.microsoft.com/office/drawing/2014/chart" uri="{C3380CC4-5D6E-409C-BE32-E72D297353CC}">
              <c16:uniqueId val="{00000000-6983-4013-9BA3-39908512901F}"/>
            </c:ext>
          </c:extLst>
        </c:ser>
        <c:ser>
          <c:idx val="1"/>
          <c:order val="1"/>
          <c:tx>
            <c:strRef>
              <c:f>Joonised!$L$981</c:f>
              <c:strCache>
                <c:ptCount val="1"/>
                <c:pt idx="0">
                  <c:v>FITM 22%-le ja süsteemi muutus</c:v>
                </c:pt>
              </c:strCache>
            </c:strRef>
          </c:tx>
          <c:spPr>
            <a:solidFill>
              <a:schemeClr val="accent2"/>
            </a:solidFill>
            <a:ln>
              <a:noFill/>
            </a:ln>
            <a:effectLst/>
          </c:spPr>
          <c:invertIfNegative val="0"/>
          <c:cat>
            <c:strRef>
              <c:f>Joonised!$M$979:$Q$979</c:f>
              <c:strCache>
                <c:ptCount val="5"/>
                <c:pt idx="0">
                  <c:v>2023</c:v>
                </c:pt>
                <c:pt idx="1">
                  <c:v>2024</c:v>
                </c:pt>
                <c:pt idx="2">
                  <c:v>2025</c:v>
                </c:pt>
                <c:pt idx="3">
                  <c:v>2026</c:v>
                </c:pt>
                <c:pt idx="4">
                  <c:v>2027</c:v>
                </c:pt>
              </c:strCache>
            </c:strRef>
          </c:cat>
          <c:val>
            <c:numRef>
              <c:f>Joonised!$M$981:$Q$981</c:f>
              <c:numCache>
                <c:formatCode>General</c:formatCode>
                <c:ptCount val="5"/>
                <c:pt idx="1">
                  <c:v>5.0999999999999996</c:v>
                </c:pt>
                <c:pt idx="2">
                  <c:v>-339.7</c:v>
                </c:pt>
                <c:pt idx="3">
                  <c:v>-195.69999999999996</c:v>
                </c:pt>
                <c:pt idx="4">
                  <c:v>-186.59999999999997</c:v>
                </c:pt>
              </c:numCache>
            </c:numRef>
          </c:val>
          <c:extLst>
            <c:ext xmlns:c16="http://schemas.microsoft.com/office/drawing/2014/chart" uri="{C3380CC4-5D6E-409C-BE32-E72D297353CC}">
              <c16:uniqueId val="{00000001-6983-4013-9BA3-39908512901F}"/>
            </c:ext>
          </c:extLst>
        </c:ser>
        <c:ser>
          <c:idx val="2"/>
          <c:order val="2"/>
          <c:tx>
            <c:strRef>
              <c:f>Joonised!$L$982</c:f>
              <c:strCache>
                <c:ptCount val="1"/>
                <c:pt idx="0">
                  <c:v>JITM 22%-le</c:v>
                </c:pt>
              </c:strCache>
            </c:strRef>
          </c:tx>
          <c:spPr>
            <a:solidFill>
              <a:schemeClr val="accent3"/>
            </a:solidFill>
            <a:ln>
              <a:noFill/>
            </a:ln>
            <a:effectLst/>
          </c:spPr>
          <c:invertIfNegative val="0"/>
          <c:cat>
            <c:strRef>
              <c:f>Joonised!$M$979:$Q$979</c:f>
              <c:strCache>
                <c:ptCount val="5"/>
                <c:pt idx="0">
                  <c:v>2023</c:v>
                </c:pt>
                <c:pt idx="1">
                  <c:v>2024</c:v>
                </c:pt>
                <c:pt idx="2">
                  <c:v>2025</c:v>
                </c:pt>
                <c:pt idx="3">
                  <c:v>2026</c:v>
                </c:pt>
                <c:pt idx="4">
                  <c:v>2027</c:v>
                </c:pt>
              </c:strCache>
            </c:strRef>
          </c:cat>
          <c:val>
            <c:numRef>
              <c:f>Joonised!$M$982:$Q$982</c:f>
              <c:numCache>
                <c:formatCode>General</c:formatCode>
                <c:ptCount val="5"/>
                <c:pt idx="1">
                  <c:v>34.9</c:v>
                </c:pt>
                <c:pt idx="2">
                  <c:v>104.7</c:v>
                </c:pt>
                <c:pt idx="3">
                  <c:v>120.8</c:v>
                </c:pt>
                <c:pt idx="4">
                  <c:v>123.1</c:v>
                </c:pt>
              </c:numCache>
            </c:numRef>
          </c:val>
          <c:extLst>
            <c:ext xmlns:c16="http://schemas.microsoft.com/office/drawing/2014/chart" uri="{C3380CC4-5D6E-409C-BE32-E72D297353CC}">
              <c16:uniqueId val="{00000002-6983-4013-9BA3-39908512901F}"/>
            </c:ext>
          </c:extLst>
        </c:ser>
        <c:ser>
          <c:idx val="3"/>
          <c:order val="3"/>
          <c:tx>
            <c:strRef>
              <c:f>Joonised!$L$983</c:f>
              <c:strCache>
                <c:ptCount val="1"/>
                <c:pt idx="0">
                  <c:v>Käibemaks 22%-le</c:v>
                </c:pt>
              </c:strCache>
            </c:strRef>
          </c:tx>
          <c:spPr>
            <a:solidFill>
              <a:schemeClr val="accent4"/>
            </a:solidFill>
            <a:ln>
              <a:noFill/>
            </a:ln>
            <a:effectLst/>
          </c:spPr>
          <c:invertIfNegative val="0"/>
          <c:cat>
            <c:strRef>
              <c:f>Joonised!$M$979:$Q$979</c:f>
              <c:strCache>
                <c:ptCount val="5"/>
                <c:pt idx="0">
                  <c:v>2023</c:v>
                </c:pt>
                <c:pt idx="1">
                  <c:v>2024</c:v>
                </c:pt>
                <c:pt idx="2">
                  <c:v>2025</c:v>
                </c:pt>
                <c:pt idx="3">
                  <c:v>2026</c:v>
                </c:pt>
                <c:pt idx="4">
                  <c:v>2027</c:v>
                </c:pt>
              </c:strCache>
            </c:strRef>
          </c:cat>
          <c:val>
            <c:numRef>
              <c:f>Joonised!$M$983:$Q$983</c:f>
              <c:numCache>
                <c:formatCode>General</c:formatCode>
                <c:ptCount val="5"/>
                <c:pt idx="1">
                  <c:v>235</c:v>
                </c:pt>
                <c:pt idx="2">
                  <c:v>256.3</c:v>
                </c:pt>
                <c:pt idx="3">
                  <c:v>267.3</c:v>
                </c:pt>
                <c:pt idx="4">
                  <c:v>274.3</c:v>
                </c:pt>
              </c:numCache>
            </c:numRef>
          </c:val>
          <c:extLst>
            <c:ext xmlns:c16="http://schemas.microsoft.com/office/drawing/2014/chart" uri="{C3380CC4-5D6E-409C-BE32-E72D297353CC}">
              <c16:uniqueId val="{00000003-6983-4013-9BA3-39908512901F}"/>
            </c:ext>
          </c:extLst>
        </c:ser>
        <c:ser>
          <c:idx val="4"/>
          <c:order val="4"/>
          <c:tx>
            <c:strRef>
              <c:f>Joonised!$L$984</c:f>
              <c:strCache>
                <c:ptCount val="1"/>
                <c:pt idx="0">
                  <c:v>Hasartmängumaksu tõus</c:v>
                </c:pt>
              </c:strCache>
            </c:strRef>
          </c:tx>
          <c:spPr>
            <a:solidFill>
              <a:schemeClr val="accent5"/>
            </a:solidFill>
            <a:ln>
              <a:noFill/>
            </a:ln>
            <a:effectLst/>
          </c:spPr>
          <c:invertIfNegative val="0"/>
          <c:cat>
            <c:strRef>
              <c:f>Joonised!$M$979:$Q$979</c:f>
              <c:strCache>
                <c:ptCount val="5"/>
                <c:pt idx="0">
                  <c:v>2023</c:v>
                </c:pt>
                <c:pt idx="1">
                  <c:v>2024</c:v>
                </c:pt>
                <c:pt idx="2">
                  <c:v>2025</c:v>
                </c:pt>
                <c:pt idx="3">
                  <c:v>2026</c:v>
                </c:pt>
                <c:pt idx="4">
                  <c:v>2027</c:v>
                </c:pt>
              </c:strCache>
            </c:strRef>
          </c:cat>
          <c:val>
            <c:numRef>
              <c:f>Joonised!$M$984:$Q$984</c:f>
              <c:numCache>
                <c:formatCode>General</c:formatCode>
                <c:ptCount val="5"/>
                <c:pt idx="1">
                  <c:v>8.3000000000000007</c:v>
                </c:pt>
                <c:pt idx="2">
                  <c:v>8.6999999999999993</c:v>
                </c:pt>
                <c:pt idx="3">
                  <c:v>13.5</c:v>
                </c:pt>
                <c:pt idx="4">
                  <c:v>14.1</c:v>
                </c:pt>
              </c:numCache>
            </c:numRef>
          </c:val>
          <c:extLst>
            <c:ext xmlns:c16="http://schemas.microsoft.com/office/drawing/2014/chart" uri="{C3380CC4-5D6E-409C-BE32-E72D297353CC}">
              <c16:uniqueId val="{00000004-6983-4013-9BA3-39908512901F}"/>
            </c:ext>
          </c:extLst>
        </c:ser>
        <c:ser>
          <c:idx val="5"/>
          <c:order val="5"/>
          <c:tx>
            <c:strRef>
              <c:f>Joonised!$L$985</c:f>
              <c:strCache>
                <c:ptCount val="1"/>
                <c:pt idx="0">
                  <c:v>Lastetoetused</c:v>
                </c:pt>
              </c:strCache>
            </c:strRef>
          </c:tx>
          <c:spPr>
            <a:solidFill>
              <a:schemeClr val="accent6"/>
            </a:solidFill>
            <a:ln>
              <a:noFill/>
            </a:ln>
            <a:effectLst/>
          </c:spPr>
          <c:invertIfNegative val="0"/>
          <c:cat>
            <c:strRef>
              <c:f>Joonised!$M$979:$Q$979</c:f>
              <c:strCache>
                <c:ptCount val="5"/>
                <c:pt idx="0">
                  <c:v>2023</c:v>
                </c:pt>
                <c:pt idx="1">
                  <c:v>2024</c:v>
                </c:pt>
                <c:pt idx="2">
                  <c:v>2025</c:v>
                </c:pt>
                <c:pt idx="3">
                  <c:v>2026</c:v>
                </c:pt>
                <c:pt idx="4">
                  <c:v>2027</c:v>
                </c:pt>
              </c:strCache>
            </c:strRef>
          </c:cat>
          <c:val>
            <c:numRef>
              <c:f>Joonised!$M$985:$Q$985</c:f>
              <c:numCache>
                <c:formatCode>General</c:formatCode>
                <c:ptCount val="5"/>
                <c:pt idx="0">
                  <c:v>4</c:v>
                </c:pt>
                <c:pt idx="1">
                  <c:v>87.64</c:v>
                </c:pt>
                <c:pt idx="2">
                  <c:v>116.35</c:v>
                </c:pt>
                <c:pt idx="3">
                  <c:v>141.88</c:v>
                </c:pt>
                <c:pt idx="4">
                  <c:v>165.39</c:v>
                </c:pt>
              </c:numCache>
            </c:numRef>
          </c:val>
          <c:extLst>
            <c:ext xmlns:c16="http://schemas.microsoft.com/office/drawing/2014/chart" uri="{C3380CC4-5D6E-409C-BE32-E72D297353CC}">
              <c16:uniqueId val="{00000005-6983-4013-9BA3-39908512901F}"/>
            </c:ext>
          </c:extLst>
        </c:ser>
        <c:ser>
          <c:idx val="6"/>
          <c:order val="6"/>
          <c:tx>
            <c:strRef>
              <c:f>Joonised!$L$986</c:f>
              <c:strCache>
                <c:ptCount val="1"/>
                <c:pt idx="0">
                  <c:v>Kaitsekulud 3% (ilma KM-ta)</c:v>
                </c:pt>
              </c:strCache>
            </c:strRef>
          </c:tx>
          <c:spPr>
            <a:solidFill>
              <a:srgbClr val="0070C0"/>
            </a:solidFill>
            <a:ln>
              <a:solidFill>
                <a:srgbClr val="0070C0"/>
              </a:solidFill>
            </a:ln>
            <a:effectLst/>
          </c:spPr>
          <c:invertIfNegative val="0"/>
          <c:cat>
            <c:strRef>
              <c:f>Joonised!$M$979:$Q$979</c:f>
              <c:strCache>
                <c:ptCount val="5"/>
                <c:pt idx="0">
                  <c:v>2023</c:v>
                </c:pt>
                <c:pt idx="1">
                  <c:v>2024</c:v>
                </c:pt>
                <c:pt idx="2">
                  <c:v>2025</c:v>
                </c:pt>
                <c:pt idx="3">
                  <c:v>2026</c:v>
                </c:pt>
                <c:pt idx="4">
                  <c:v>2027</c:v>
                </c:pt>
              </c:strCache>
            </c:strRef>
          </c:cat>
          <c:val>
            <c:numRef>
              <c:f>Joonised!$M$986:$Q$986</c:f>
              <c:numCache>
                <c:formatCode>General</c:formatCode>
                <c:ptCount val="5"/>
                <c:pt idx="1">
                  <c:v>0</c:v>
                </c:pt>
                <c:pt idx="2">
                  <c:v>-140.83333333333334</c:v>
                </c:pt>
                <c:pt idx="3">
                  <c:v>-242.83333333333331</c:v>
                </c:pt>
                <c:pt idx="4">
                  <c:v>-425.66666666666669</c:v>
                </c:pt>
              </c:numCache>
            </c:numRef>
          </c:val>
          <c:extLst>
            <c:ext xmlns:c16="http://schemas.microsoft.com/office/drawing/2014/chart" uri="{C3380CC4-5D6E-409C-BE32-E72D297353CC}">
              <c16:uniqueId val="{00000006-6983-4013-9BA3-39908512901F}"/>
            </c:ext>
          </c:extLst>
        </c:ser>
        <c:dLbls>
          <c:showLegendKey val="0"/>
          <c:showVal val="0"/>
          <c:showCatName val="0"/>
          <c:showSerName val="0"/>
          <c:showPercent val="0"/>
          <c:showBubbleSize val="0"/>
        </c:dLbls>
        <c:gapWidth val="150"/>
        <c:overlap val="100"/>
        <c:axId val="862851071"/>
        <c:axId val="858084607"/>
        <c:extLst>
          <c:ext xmlns:c15="http://schemas.microsoft.com/office/drawing/2012/chart" uri="{02D57815-91ED-43cb-92C2-25804820EDAC}">
            <c15:filteredBarSeries>
              <c15:ser>
                <c:idx val="7"/>
                <c:order val="7"/>
                <c:tx>
                  <c:strRef>
                    <c:extLst>
                      <c:ext uri="{02D57815-91ED-43cb-92C2-25804820EDAC}">
                        <c15:formulaRef>
                          <c15:sqref>Joonised!$L$987</c15:sqref>
                        </c15:formulaRef>
                      </c:ext>
                    </c:extLst>
                    <c:strCache>
                      <c:ptCount val="1"/>
                      <c:pt idx="0">
                        <c:v>SOM, HTM, KUM, REM kulud</c:v>
                      </c:pt>
                    </c:strCache>
                  </c:strRef>
                </c:tx>
                <c:spPr>
                  <a:solidFill>
                    <a:schemeClr val="accent2">
                      <a:lumMod val="60000"/>
                    </a:schemeClr>
                  </a:solidFill>
                  <a:ln>
                    <a:noFill/>
                  </a:ln>
                  <a:effectLst/>
                </c:spPr>
                <c:invertIfNegative val="0"/>
                <c:cat>
                  <c:strRef>
                    <c:extLst>
                      <c:ext uri="{02D57815-91ED-43cb-92C2-25804820EDAC}">
                        <c15:formulaRef>
                          <c15:sqref>Joonised!$M$979:$Q$979</c15:sqref>
                        </c15:formulaRef>
                      </c:ext>
                    </c:extLst>
                    <c:strCache>
                      <c:ptCount val="5"/>
                      <c:pt idx="0">
                        <c:v>2023</c:v>
                      </c:pt>
                      <c:pt idx="1">
                        <c:v>2024</c:v>
                      </c:pt>
                      <c:pt idx="2">
                        <c:v>2025</c:v>
                      </c:pt>
                      <c:pt idx="3">
                        <c:v>2026</c:v>
                      </c:pt>
                      <c:pt idx="4">
                        <c:v>2027</c:v>
                      </c:pt>
                    </c:strCache>
                  </c:strRef>
                </c:cat>
                <c:val>
                  <c:numRef>
                    <c:extLst>
                      <c:ext uri="{02D57815-91ED-43cb-92C2-25804820EDAC}">
                        <c15:formulaRef>
                          <c15:sqref>Joonised!$M$987:$Q$987</c15:sqref>
                        </c15:formulaRef>
                      </c:ext>
                    </c:extLst>
                    <c:numCache>
                      <c:formatCode>General</c:formatCode>
                      <c:ptCount val="5"/>
                      <c:pt idx="1">
                        <c:v>-46.1</c:v>
                      </c:pt>
                      <c:pt idx="2" formatCode="0">
                        <c:v>-50.5</c:v>
                      </c:pt>
                      <c:pt idx="3" formatCode="0">
                        <c:v>-51.5</c:v>
                      </c:pt>
                      <c:pt idx="4">
                        <c:v>-52.7</c:v>
                      </c:pt>
                    </c:numCache>
                  </c:numRef>
                </c:val>
                <c:extLst>
                  <c:ext xmlns:c16="http://schemas.microsoft.com/office/drawing/2014/chart" uri="{C3380CC4-5D6E-409C-BE32-E72D297353CC}">
                    <c16:uniqueId val="{00000009-6983-4013-9BA3-39908512901F}"/>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Joonised!$L$989</c15:sqref>
                        </c15:formulaRef>
                      </c:ext>
                    </c:extLst>
                    <c:strCache>
                      <c:ptCount val="1"/>
                      <c:pt idx="0">
                        <c:v>KOKKU %SKP</c:v>
                      </c:pt>
                    </c:strCache>
                  </c:strRef>
                </c:tx>
                <c:spPr>
                  <a:solidFill>
                    <a:schemeClr val="accent4">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Joonised!$M$979:$Q$979</c15:sqref>
                        </c15:formulaRef>
                      </c:ext>
                    </c:extLst>
                    <c:strCache>
                      <c:ptCount val="5"/>
                      <c:pt idx="0">
                        <c:v>2023</c:v>
                      </c:pt>
                      <c:pt idx="1">
                        <c:v>2024</c:v>
                      </c:pt>
                      <c:pt idx="2">
                        <c:v>2025</c:v>
                      </c:pt>
                      <c:pt idx="3">
                        <c:v>2026</c:v>
                      </c:pt>
                      <c:pt idx="4">
                        <c:v>2027</c:v>
                      </c:pt>
                    </c:strCache>
                  </c:strRef>
                </c:cat>
                <c:val>
                  <c:numRef>
                    <c:extLst xmlns:c15="http://schemas.microsoft.com/office/drawing/2012/chart">
                      <c:ext xmlns:c15="http://schemas.microsoft.com/office/drawing/2012/chart" uri="{02D57815-91ED-43cb-92C2-25804820EDAC}">
                        <c15:formulaRef>
                          <c15:sqref>Joonised!$M$989:$Q$989</c15:sqref>
                        </c15:formulaRef>
                      </c:ext>
                    </c:extLst>
                    <c:numCache>
                      <c:formatCode>0.0%</c:formatCode>
                      <c:ptCount val="5"/>
                      <c:pt idx="0">
                        <c:v>5.7243812903842533E-4</c:v>
                      </c:pt>
                      <c:pt idx="1">
                        <c:v>8.2738388560193062E-3</c:v>
                      </c:pt>
                      <c:pt idx="2">
                        <c:v>-1.1394382836019938E-4</c:v>
                      </c:pt>
                      <c:pt idx="3">
                        <c:v>1.973568410104229E-3</c:v>
                      </c:pt>
                      <c:pt idx="4">
                        <c:v>-5.6565276733238517E-4</c:v>
                      </c:pt>
                    </c:numCache>
                  </c:numRef>
                </c:val>
                <c:extLst xmlns:c15="http://schemas.microsoft.com/office/drawing/2012/chart">
                  <c:ext xmlns:c16="http://schemas.microsoft.com/office/drawing/2014/chart" uri="{C3380CC4-5D6E-409C-BE32-E72D297353CC}">
                    <c16:uniqueId val="{0000000A-6983-4013-9BA3-39908512901F}"/>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Joonised!$L$990</c15:sqref>
                        </c15:formulaRef>
                      </c:ext>
                    </c:extLst>
                    <c:strCache>
                      <c:ptCount val="1"/>
                      <c:pt idx="0">
                        <c:v>Kulumeetmed</c:v>
                      </c:pt>
                    </c:strCache>
                  </c:strRef>
                </c:tx>
                <c:spPr>
                  <a:solidFill>
                    <a:schemeClr val="accent5">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Joonised!$M$979:$Q$979</c15:sqref>
                        </c15:formulaRef>
                      </c:ext>
                    </c:extLst>
                    <c:strCache>
                      <c:ptCount val="5"/>
                      <c:pt idx="0">
                        <c:v>2023</c:v>
                      </c:pt>
                      <c:pt idx="1">
                        <c:v>2024</c:v>
                      </c:pt>
                      <c:pt idx="2">
                        <c:v>2025</c:v>
                      </c:pt>
                      <c:pt idx="3">
                        <c:v>2026</c:v>
                      </c:pt>
                      <c:pt idx="4">
                        <c:v>2027</c:v>
                      </c:pt>
                    </c:strCache>
                  </c:strRef>
                </c:cat>
                <c:val>
                  <c:numRef>
                    <c:extLst xmlns:c15="http://schemas.microsoft.com/office/drawing/2012/chart">
                      <c:ext xmlns:c15="http://schemas.microsoft.com/office/drawing/2012/chart" uri="{02D57815-91ED-43cb-92C2-25804820EDAC}">
                        <c15:formulaRef>
                          <c15:sqref>Joonised!$M$990:$Q$990</c15:sqref>
                        </c15:formulaRef>
                      </c:ext>
                    </c:extLst>
                    <c:numCache>
                      <c:formatCode>0.0%</c:formatCode>
                      <c:ptCount val="5"/>
                      <c:pt idx="0">
                        <c:v>5.7243812903842533E-4</c:v>
                      </c:pt>
                      <c:pt idx="1">
                        <c:v>-9.8946270300079233E-4</c:v>
                      </c:pt>
                      <c:pt idx="2">
                        <c:v>-1.2142067756564155E-2</c:v>
                      </c:pt>
                      <c:pt idx="3">
                        <c:v>-1.0692647304836093E-2</c:v>
                      </c:pt>
                      <c:pt idx="4">
                        <c:v>-1.3891674326620428E-2</c:v>
                      </c:pt>
                    </c:numCache>
                  </c:numRef>
                </c:val>
                <c:extLst xmlns:c15="http://schemas.microsoft.com/office/drawing/2012/chart">
                  <c:ext xmlns:c16="http://schemas.microsoft.com/office/drawing/2014/chart" uri="{C3380CC4-5D6E-409C-BE32-E72D297353CC}">
                    <c16:uniqueId val="{0000000B-6983-4013-9BA3-39908512901F}"/>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Joonised!$L$991</c15:sqref>
                        </c15:formulaRef>
                      </c:ext>
                    </c:extLst>
                    <c:strCache>
                      <c:ptCount val="1"/>
                      <c:pt idx="0">
                        <c:v>Tulumeetmed</c:v>
                      </c:pt>
                    </c:strCache>
                  </c:strRef>
                </c:tx>
                <c:spPr>
                  <a:solidFill>
                    <a:schemeClr val="accent6">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Joonised!$M$979:$Q$979</c15:sqref>
                        </c15:formulaRef>
                      </c:ext>
                    </c:extLst>
                    <c:strCache>
                      <c:ptCount val="5"/>
                      <c:pt idx="0">
                        <c:v>2023</c:v>
                      </c:pt>
                      <c:pt idx="1">
                        <c:v>2024</c:v>
                      </c:pt>
                      <c:pt idx="2">
                        <c:v>2025</c:v>
                      </c:pt>
                      <c:pt idx="3">
                        <c:v>2026</c:v>
                      </c:pt>
                      <c:pt idx="4">
                        <c:v>2027</c:v>
                      </c:pt>
                    </c:strCache>
                  </c:strRef>
                </c:cat>
                <c:val>
                  <c:numRef>
                    <c:extLst xmlns:c15="http://schemas.microsoft.com/office/drawing/2012/chart">
                      <c:ext xmlns:c15="http://schemas.microsoft.com/office/drawing/2012/chart" uri="{02D57815-91ED-43cb-92C2-25804820EDAC}">
                        <c15:formulaRef>
                          <c15:sqref>Joonised!$M$991:$Q$991</c15:sqref>
                        </c15:formulaRef>
                      </c:ext>
                    </c:extLst>
                    <c:numCache>
                      <c:formatCode>0.0%</c:formatCode>
                      <c:ptCount val="5"/>
                      <c:pt idx="0">
                        <c:v>5.7243812903842533E-4</c:v>
                      </c:pt>
                      <c:pt idx="1">
                        <c:v>9.2633015590200991E-3</c:v>
                      </c:pt>
                      <c:pt idx="2">
                        <c:v>1.2028123928203955E-2</c:v>
                      </c:pt>
                      <c:pt idx="3">
                        <c:v>1.2666215714940322E-2</c:v>
                      </c:pt>
                      <c:pt idx="4">
                        <c:v>1.3326021559288043E-2</c:v>
                      </c:pt>
                    </c:numCache>
                  </c:numRef>
                </c:val>
                <c:extLst xmlns:c15="http://schemas.microsoft.com/office/drawing/2012/chart">
                  <c:ext xmlns:c16="http://schemas.microsoft.com/office/drawing/2014/chart" uri="{C3380CC4-5D6E-409C-BE32-E72D297353CC}">
                    <c16:uniqueId val="{0000000C-6983-4013-9BA3-39908512901F}"/>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Joonised!$L$992</c15:sqref>
                        </c15:formulaRef>
                      </c:ext>
                    </c:extLst>
                    <c:strCache>
                      <c:ptCount val="1"/>
                    </c:strCache>
                  </c:strRef>
                </c:tx>
                <c:spPr>
                  <a:solidFill>
                    <a:schemeClr val="accent1">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Joonised!$M$979:$Q$979</c15:sqref>
                        </c15:formulaRef>
                      </c:ext>
                    </c:extLst>
                    <c:strCache>
                      <c:ptCount val="5"/>
                      <c:pt idx="0">
                        <c:v>2023</c:v>
                      </c:pt>
                      <c:pt idx="1">
                        <c:v>2024</c:v>
                      </c:pt>
                      <c:pt idx="2">
                        <c:v>2025</c:v>
                      </c:pt>
                      <c:pt idx="3">
                        <c:v>2026</c:v>
                      </c:pt>
                      <c:pt idx="4">
                        <c:v>2027</c:v>
                      </c:pt>
                    </c:strCache>
                  </c:strRef>
                </c:cat>
                <c:val>
                  <c:numRef>
                    <c:extLst xmlns:c15="http://schemas.microsoft.com/office/drawing/2012/chart">
                      <c:ext xmlns:c15="http://schemas.microsoft.com/office/drawing/2012/chart" uri="{02D57815-91ED-43cb-92C2-25804820EDAC}">
                        <c15:formulaRef>
                          <c15:sqref>Joonised!$M$992:$Q$992</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D-6983-4013-9BA3-39908512901F}"/>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Joonised!$L$994</c15:sqref>
                        </c15:formulaRef>
                      </c:ext>
                    </c:extLst>
                    <c:strCache>
                      <c:ptCount val="1"/>
                    </c:strCache>
                  </c:strRef>
                </c:tx>
                <c:spPr>
                  <a:solidFill>
                    <a:schemeClr val="accent3">
                      <a:lumMod val="80000"/>
                      <a:lumOff val="20000"/>
                    </a:schemeClr>
                  </a:solidFill>
                  <a:ln>
                    <a:noFill/>
                  </a:ln>
                  <a:effectLst/>
                </c:spPr>
                <c:invertIfNegative val="0"/>
                <c:cat>
                  <c:strRef>
                    <c:extLst xmlns:c15="http://schemas.microsoft.com/office/drawing/2012/chart">
                      <c:ext xmlns:c15="http://schemas.microsoft.com/office/drawing/2012/chart" uri="{02D57815-91ED-43cb-92C2-25804820EDAC}">
                        <c15:formulaRef>
                          <c15:sqref>Joonised!$M$979:$Q$979</c15:sqref>
                        </c15:formulaRef>
                      </c:ext>
                    </c:extLst>
                    <c:strCache>
                      <c:ptCount val="5"/>
                      <c:pt idx="0">
                        <c:v>2023</c:v>
                      </c:pt>
                      <c:pt idx="1">
                        <c:v>2024</c:v>
                      </c:pt>
                      <c:pt idx="2">
                        <c:v>2025</c:v>
                      </c:pt>
                      <c:pt idx="3">
                        <c:v>2026</c:v>
                      </c:pt>
                      <c:pt idx="4">
                        <c:v>2027</c:v>
                      </c:pt>
                    </c:strCache>
                  </c:strRef>
                </c:cat>
                <c:val>
                  <c:numRef>
                    <c:extLst xmlns:c15="http://schemas.microsoft.com/office/drawing/2012/chart">
                      <c:ext xmlns:c15="http://schemas.microsoft.com/office/drawing/2012/chart" uri="{02D57815-91ED-43cb-92C2-25804820EDAC}">
                        <c15:formulaRef>
                          <c15:sqref>Joonised!$M$994:$Q$994</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F-6983-4013-9BA3-39908512901F}"/>
                  </c:ext>
                </c:extLst>
              </c15:ser>
            </c15:filteredBarSeries>
          </c:ext>
        </c:extLst>
      </c:barChart>
      <c:lineChart>
        <c:grouping val="standard"/>
        <c:varyColors val="0"/>
        <c:ser>
          <c:idx val="8"/>
          <c:order val="8"/>
          <c:tx>
            <c:strRef>
              <c:f>Joonised!$L$988</c:f>
              <c:strCache>
                <c:ptCount val="1"/>
                <c:pt idx="0">
                  <c:v>Prognoosis arvestatud meetmed</c:v>
                </c:pt>
              </c:strCache>
            </c:strRef>
          </c:tx>
          <c:spPr>
            <a:ln w="28575" cap="rnd">
              <a:solidFill>
                <a:schemeClr val="accent1"/>
              </a:solidFill>
              <a:round/>
            </a:ln>
            <a:effectLst/>
          </c:spPr>
          <c:marker>
            <c:symbol val="none"/>
          </c:marker>
          <c:cat>
            <c:strRef>
              <c:f>Joonised!$M$979:$Q$979</c:f>
              <c:strCache>
                <c:ptCount val="5"/>
                <c:pt idx="0">
                  <c:v>2023</c:v>
                </c:pt>
                <c:pt idx="1">
                  <c:v>2024</c:v>
                </c:pt>
                <c:pt idx="2">
                  <c:v>2025</c:v>
                </c:pt>
                <c:pt idx="3">
                  <c:v>2026</c:v>
                </c:pt>
                <c:pt idx="4">
                  <c:v>2027</c:v>
                </c:pt>
              </c:strCache>
            </c:strRef>
          </c:cat>
          <c:val>
            <c:numRef>
              <c:f>Joonised!$M$988:$Q$988</c:f>
              <c:numCache>
                <c:formatCode>0</c:formatCode>
                <c:ptCount val="5"/>
                <c:pt idx="0">
                  <c:v>22.2</c:v>
                </c:pt>
                <c:pt idx="1">
                  <c:v>342.84</c:v>
                </c:pt>
                <c:pt idx="2">
                  <c:v>-4.9833333333333201</c:v>
                </c:pt>
                <c:pt idx="3">
                  <c:v>90.446666666666715</c:v>
                </c:pt>
                <c:pt idx="4">
                  <c:v>-27.076666666666611</c:v>
                </c:pt>
              </c:numCache>
            </c:numRef>
          </c:val>
          <c:smooth val="1"/>
          <c:extLst>
            <c:ext xmlns:c16="http://schemas.microsoft.com/office/drawing/2014/chart" uri="{C3380CC4-5D6E-409C-BE32-E72D297353CC}">
              <c16:uniqueId val="{00000007-6983-4013-9BA3-39908512901F}"/>
            </c:ext>
          </c:extLst>
        </c:ser>
        <c:ser>
          <c:idx val="15"/>
          <c:order val="15"/>
          <c:tx>
            <c:strRef>
              <c:f>Joonised!$L$995</c:f>
              <c:strCache>
                <c:ptCount val="1"/>
                <c:pt idx="0">
                  <c:v>Meetmete mõju peale plaanide jõustumist</c:v>
                </c:pt>
              </c:strCache>
            </c:strRef>
          </c:tx>
          <c:spPr>
            <a:ln w="28575" cap="rnd">
              <a:solidFill>
                <a:schemeClr val="accent2"/>
              </a:solidFill>
              <a:prstDash val="sysDash"/>
              <a:round/>
            </a:ln>
            <a:effectLst/>
          </c:spPr>
          <c:marker>
            <c:symbol val="none"/>
          </c:marker>
          <c:cat>
            <c:strRef>
              <c:f>Joonised!$M$979:$Q$979</c:f>
              <c:strCache>
                <c:ptCount val="5"/>
                <c:pt idx="0">
                  <c:v>2023</c:v>
                </c:pt>
                <c:pt idx="1">
                  <c:v>2024</c:v>
                </c:pt>
                <c:pt idx="2">
                  <c:v>2025</c:v>
                </c:pt>
                <c:pt idx="3">
                  <c:v>2026</c:v>
                </c:pt>
                <c:pt idx="4">
                  <c:v>2027</c:v>
                </c:pt>
              </c:strCache>
            </c:strRef>
          </c:cat>
          <c:val>
            <c:numRef>
              <c:f>Joonised!$M$995:$Q$995</c:f>
              <c:numCache>
                <c:formatCode>0</c:formatCode>
                <c:ptCount val="5"/>
                <c:pt idx="0">
                  <c:v>22.2</c:v>
                </c:pt>
                <c:pt idx="1">
                  <c:v>385.80721399999999</c:v>
                </c:pt>
                <c:pt idx="2">
                  <c:v>162.75453166666671</c:v>
                </c:pt>
                <c:pt idx="3">
                  <c:v>277.47910366666673</c:v>
                </c:pt>
                <c:pt idx="4">
                  <c:v>142.48581733333344</c:v>
                </c:pt>
              </c:numCache>
            </c:numRef>
          </c:val>
          <c:smooth val="1"/>
          <c:extLst>
            <c:ext xmlns:c16="http://schemas.microsoft.com/office/drawing/2014/chart" uri="{C3380CC4-5D6E-409C-BE32-E72D297353CC}">
              <c16:uniqueId val="{00000008-6983-4013-9BA3-39908512901F}"/>
            </c:ext>
          </c:extLst>
        </c:ser>
        <c:dLbls>
          <c:showLegendKey val="0"/>
          <c:showVal val="0"/>
          <c:showCatName val="0"/>
          <c:showSerName val="0"/>
          <c:showPercent val="0"/>
          <c:showBubbleSize val="0"/>
        </c:dLbls>
        <c:marker val="1"/>
        <c:smooth val="0"/>
        <c:axId val="862851071"/>
        <c:axId val="858084607"/>
        <c:extLst>
          <c:ext xmlns:c15="http://schemas.microsoft.com/office/drawing/2012/chart" uri="{02D57815-91ED-43cb-92C2-25804820EDAC}">
            <c15:filteredLineSeries>
              <c15:ser>
                <c:idx val="13"/>
                <c:order val="13"/>
                <c:tx>
                  <c:strRef>
                    <c:extLst>
                      <c:ext uri="{02D57815-91ED-43cb-92C2-25804820EDAC}">
                        <c15:formulaRef>
                          <c15:sqref>Joonised!$L$993</c15:sqref>
                        </c15:formulaRef>
                      </c:ext>
                    </c:extLst>
                    <c:strCache>
                      <c:ptCount val="1"/>
                      <c:pt idx="0">
                        <c:v>Algne KL mõju prognoos</c:v>
                      </c:pt>
                    </c:strCache>
                  </c:strRef>
                </c:tx>
                <c:spPr>
                  <a:ln w="28575" cap="rnd">
                    <a:solidFill>
                      <a:schemeClr val="accent5">
                        <a:lumMod val="75000"/>
                        <a:lumOff val="25000"/>
                      </a:schemeClr>
                    </a:solidFill>
                    <a:prstDash val="sysDash"/>
                    <a:round/>
                  </a:ln>
                  <a:effectLst/>
                </c:spPr>
                <c:marker>
                  <c:symbol val="none"/>
                </c:marker>
                <c:cat>
                  <c:strRef>
                    <c:extLst>
                      <c:ext uri="{02D57815-91ED-43cb-92C2-25804820EDAC}">
                        <c15:formulaRef>
                          <c15:sqref>Joonised!$M$979:$Q$979</c15:sqref>
                        </c15:formulaRef>
                      </c:ext>
                    </c:extLst>
                    <c:strCache>
                      <c:ptCount val="5"/>
                      <c:pt idx="0">
                        <c:v>2023</c:v>
                      </c:pt>
                      <c:pt idx="1">
                        <c:v>2024</c:v>
                      </c:pt>
                      <c:pt idx="2">
                        <c:v>2025</c:v>
                      </c:pt>
                      <c:pt idx="3">
                        <c:v>2026</c:v>
                      </c:pt>
                      <c:pt idx="4">
                        <c:v>2027</c:v>
                      </c:pt>
                    </c:strCache>
                  </c:strRef>
                </c:cat>
                <c:val>
                  <c:numRef>
                    <c:extLst>
                      <c:ext uri="{02D57815-91ED-43cb-92C2-25804820EDAC}">
                        <c15:formulaRef>
                          <c15:sqref>Joonised!$M$993:$Q$993</c15:sqref>
                        </c15:formulaRef>
                      </c:ext>
                    </c:extLst>
                    <c:numCache>
                      <c:formatCode>0</c:formatCode>
                      <c:ptCount val="5"/>
                      <c:pt idx="0">
                        <c:v>24</c:v>
                      </c:pt>
                      <c:pt idx="1">
                        <c:v>490</c:v>
                      </c:pt>
                      <c:pt idx="2">
                        <c:v>306</c:v>
                      </c:pt>
                      <c:pt idx="3">
                        <c:v>386</c:v>
                      </c:pt>
                      <c:pt idx="4">
                        <c:v>151</c:v>
                      </c:pt>
                    </c:numCache>
                  </c:numRef>
                </c:val>
                <c:smooth val="1"/>
                <c:extLst>
                  <c:ext xmlns:c16="http://schemas.microsoft.com/office/drawing/2014/chart" uri="{C3380CC4-5D6E-409C-BE32-E72D297353CC}">
                    <c16:uniqueId val="{0000000E-6983-4013-9BA3-39908512901F}"/>
                  </c:ext>
                </c:extLst>
              </c15:ser>
            </c15:filteredLineSeries>
          </c:ext>
        </c:extLst>
      </c:lineChart>
      <c:catAx>
        <c:axId val="862851071"/>
        <c:scaling>
          <c:orientation val="minMax"/>
        </c:scaling>
        <c:delete val="0"/>
        <c:axPos val="b"/>
        <c:numFmt formatCode="General" sourceLinked="1"/>
        <c:majorTickMark val="none"/>
        <c:minorTickMark val="none"/>
        <c:tickLblPos val="low"/>
        <c:spPr>
          <a:noFill/>
          <a:ln w="2540"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858084607"/>
        <c:crosses val="autoZero"/>
        <c:auto val="1"/>
        <c:lblAlgn val="ctr"/>
        <c:lblOffset val="100"/>
        <c:noMultiLvlLbl val="0"/>
      </c:catAx>
      <c:valAx>
        <c:axId val="85808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2540">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862851071"/>
        <c:crosses val="autoZero"/>
        <c:crossBetween val="between"/>
        <c:majorUnit val="250"/>
      </c:valAx>
      <c:spPr>
        <a:noFill/>
        <a:ln>
          <a:noFill/>
        </a:ln>
        <a:effectLst/>
      </c:spPr>
    </c:plotArea>
    <c:legend>
      <c:legendPos val="b"/>
      <c:layout>
        <c:manualLayout>
          <c:xMode val="edge"/>
          <c:yMode val="edge"/>
          <c:x val="0.65049207293992828"/>
          <c:y val="2.7737715191244072E-2"/>
          <c:w val="0.33769525670954187"/>
          <c:h val="0.949877744995239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t-EE"/>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4742729306487913E-2"/>
          <c:y val="3.6563071297989032E-2"/>
          <c:w val="0.94174545703441093"/>
          <c:h val="0.83546617915901911"/>
        </c:manualLayout>
      </c:layout>
      <c:barChart>
        <c:barDir val="col"/>
        <c:grouping val="clustered"/>
        <c:varyColors val="0"/>
        <c:ser>
          <c:idx val="19"/>
          <c:order val="0"/>
          <c:spPr>
            <a:solidFill>
              <a:srgbClr val="FFC000"/>
            </a:solidFill>
            <a:ln w="1379">
              <a:noFill/>
              <a:prstDash val="solid"/>
            </a:ln>
          </c:spPr>
          <c:invertIfNegative val="0"/>
          <c:dPt>
            <c:idx val="3"/>
            <c:invertIfNegative val="0"/>
            <c:bubble3D val="0"/>
            <c:spPr>
              <a:solidFill>
                <a:schemeClr val="accent1"/>
              </a:solidFill>
              <a:ln w="1379">
                <a:noFill/>
                <a:prstDash val="solid"/>
              </a:ln>
            </c:spPr>
            <c:extLst>
              <c:ext xmlns:c16="http://schemas.microsoft.com/office/drawing/2014/chart" uri="{C3380CC4-5D6E-409C-BE32-E72D297353CC}">
                <c16:uniqueId val="{00000001-292A-45B4-B0B4-9EC3FEBA15A3}"/>
              </c:ext>
            </c:extLst>
          </c:dPt>
          <c:dPt>
            <c:idx val="6"/>
            <c:invertIfNegative val="0"/>
            <c:bubble3D val="0"/>
            <c:extLst>
              <c:ext xmlns:c16="http://schemas.microsoft.com/office/drawing/2014/chart" uri="{C3380CC4-5D6E-409C-BE32-E72D297353CC}">
                <c16:uniqueId val="{00000002-292A-45B4-B0B4-9EC3FEBA15A3}"/>
              </c:ext>
            </c:extLst>
          </c:dPt>
          <c:dPt>
            <c:idx val="7"/>
            <c:invertIfNegative val="0"/>
            <c:bubble3D val="0"/>
            <c:extLst>
              <c:ext xmlns:c16="http://schemas.microsoft.com/office/drawing/2014/chart" uri="{C3380CC4-5D6E-409C-BE32-E72D297353CC}">
                <c16:uniqueId val="{00000003-292A-45B4-B0B4-9EC3FEBA15A3}"/>
              </c:ext>
            </c:extLst>
          </c:dPt>
          <c:dPt>
            <c:idx val="8"/>
            <c:invertIfNegative val="0"/>
            <c:bubble3D val="0"/>
            <c:extLst>
              <c:ext xmlns:c16="http://schemas.microsoft.com/office/drawing/2014/chart" uri="{C3380CC4-5D6E-409C-BE32-E72D297353CC}">
                <c16:uniqueId val="{00000004-292A-45B4-B0B4-9EC3FEBA15A3}"/>
              </c:ext>
            </c:extLst>
          </c:dPt>
          <c:dPt>
            <c:idx val="18"/>
            <c:invertIfNegative val="0"/>
            <c:bubble3D val="0"/>
            <c:extLst>
              <c:ext xmlns:c16="http://schemas.microsoft.com/office/drawing/2014/chart" uri="{C3380CC4-5D6E-409C-BE32-E72D297353CC}">
                <c16:uniqueId val="{00000005-292A-45B4-B0B4-9EC3FEBA15A3}"/>
              </c:ext>
            </c:extLst>
          </c:dPt>
          <c:dPt>
            <c:idx val="19"/>
            <c:invertIfNegative val="0"/>
            <c:bubble3D val="0"/>
            <c:extLst>
              <c:ext xmlns:c16="http://schemas.microsoft.com/office/drawing/2014/chart" uri="{C3380CC4-5D6E-409C-BE32-E72D297353CC}">
                <c16:uniqueId val="{00000006-292A-45B4-B0B4-9EC3FEBA15A3}"/>
              </c:ext>
            </c:extLst>
          </c:dPt>
          <c:dPt>
            <c:idx val="20"/>
            <c:invertIfNegative val="0"/>
            <c:bubble3D val="0"/>
            <c:extLst>
              <c:ext xmlns:c16="http://schemas.microsoft.com/office/drawing/2014/chart" uri="{C3380CC4-5D6E-409C-BE32-E72D297353CC}">
                <c16:uniqueId val="{00000007-292A-45B4-B0B4-9EC3FEBA15A3}"/>
              </c:ext>
            </c:extLst>
          </c:dPt>
          <c:dPt>
            <c:idx val="21"/>
            <c:invertIfNegative val="0"/>
            <c:bubble3D val="0"/>
            <c:spPr>
              <a:solidFill>
                <a:srgbClr val="FFFF00"/>
              </a:solidFill>
              <a:ln w="1379">
                <a:noFill/>
                <a:prstDash val="solid"/>
              </a:ln>
            </c:spPr>
            <c:extLst>
              <c:ext xmlns:c16="http://schemas.microsoft.com/office/drawing/2014/chart" uri="{C3380CC4-5D6E-409C-BE32-E72D297353CC}">
                <c16:uniqueId val="{00000009-292A-45B4-B0B4-9EC3FEBA15A3}"/>
              </c:ext>
            </c:extLst>
          </c:dPt>
          <c:dPt>
            <c:idx val="22"/>
            <c:invertIfNegative val="0"/>
            <c:bubble3D val="0"/>
            <c:spPr>
              <a:solidFill>
                <a:srgbClr val="FFFF00"/>
              </a:solidFill>
              <a:ln w="1379">
                <a:noFill/>
                <a:prstDash val="solid"/>
              </a:ln>
            </c:spPr>
            <c:extLst>
              <c:ext xmlns:c16="http://schemas.microsoft.com/office/drawing/2014/chart" uri="{C3380CC4-5D6E-409C-BE32-E72D297353CC}">
                <c16:uniqueId val="{0000000B-292A-45B4-B0B4-9EC3FEBA15A3}"/>
              </c:ext>
            </c:extLst>
          </c:dPt>
          <c:dLbls>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2A-45B4-B0B4-9EC3FEBA15A3}"/>
                </c:ext>
              </c:extLst>
            </c:dLbl>
            <c:dLbl>
              <c:idx val="2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92A-45B4-B0B4-9EC3FEBA15A3}"/>
                </c:ext>
              </c:extLst>
            </c:dLbl>
            <c:dLbl>
              <c:idx val="2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92A-45B4-B0B4-9EC3FEBA15A3}"/>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Joonised!$M$445:$M$473</c:f>
              <c:strCache>
                <c:ptCount val="29"/>
                <c:pt idx="0">
                  <c:v>IE</c:v>
                </c:pt>
                <c:pt idx="1">
                  <c:v>LT</c:v>
                </c:pt>
                <c:pt idx="2">
                  <c:v>RO</c:v>
                </c:pt>
                <c:pt idx="3">
                  <c:v>EE</c:v>
                </c:pt>
                <c:pt idx="4">
                  <c:v>LU</c:v>
                </c:pt>
                <c:pt idx="5">
                  <c:v>BG</c:v>
                </c:pt>
                <c:pt idx="6">
                  <c:v>CY</c:v>
                </c:pt>
                <c:pt idx="7">
                  <c:v>PL</c:v>
                </c:pt>
                <c:pt idx="8">
                  <c:v>LV</c:v>
                </c:pt>
                <c:pt idx="9">
                  <c:v>MT</c:v>
                </c:pt>
                <c:pt idx="10">
                  <c:v>CZ</c:v>
                </c:pt>
                <c:pt idx="11">
                  <c:v>NL</c:v>
                </c:pt>
                <c:pt idx="12">
                  <c:v>SK</c:v>
                </c:pt>
                <c:pt idx="13">
                  <c:v>HU</c:v>
                </c:pt>
                <c:pt idx="14">
                  <c:v>PT</c:v>
                </c:pt>
                <c:pt idx="15">
                  <c:v>SI</c:v>
                </c:pt>
                <c:pt idx="16">
                  <c:v>HR</c:v>
                </c:pt>
                <c:pt idx="17">
                  <c:v>SE</c:v>
                </c:pt>
                <c:pt idx="18">
                  <c:v>ES</c:v>
                </c:pt>
                <c:pt idx="19">
                  <c:v>DK</c:v>
                </c:pt>
                <c:pt idx="20">
                  <c:v>DE</c:v>
                </c:pt>
                <c:pt idx="21">
                  <c:v>EL-27</c:v>
                </c:pt>
                <c:pt idx="22">
                  <c:v>€</c:v>
                </c:pt>
                <c:pt idx="23">
                  <c:v>BE</c:v>
                </c:pt>
                <c:pt idx="24">
                  <c:v>IT</c:v>
                </c:pt>
                <c:pt idx="25">
                  <c:v>FI</c:v>
                </c:pt>
                <c:pt idx="26">
                  <c:v>AT</c:v>
                </c:pt>
                <c:pt idx="27">
                  <c:v>GR</c:v>
                </c:pt>
                <c:pt idx="28">
                  <c:v>FR</c:v>
                </c:pt>
              </c:strCache>
            </c:strRef>
          </c:cat>
          <c:val>
            <c:numRef>
              <c:f>Joonised!$N$445:$N$473</c:f>
              <c:numCache>
                <c:formatCode>0.0</c:formatCode>
                <c:ptCount val="29"/>
                <c:pt idx="0">
                  <c:v>21.3</c:v>
                </c:pt>
                <c:pt idx="1">
                  <c:v>36.5</c:v>
                </c:pt>
                <c:pt idx="2">
                  <c:v>39.700000000000003</c:v>
                </c:pt>
                <c:pt idx="3">
                  <c:v>39.618507575420978</c:v>
                </c:pt>
                <c:pt idx="4">
                  <c:v>43.3</c:v>
                </c:pt>
                <c:pt idx="5">
                  <c:v>41.3</c:v>
                </c:pt>
                <c:pt idx="6">
                  <c:v>39.799999999999997</c:v>
                </c:pt>
                <c:pt idx="7">
                  <c:v>43.5</c:v>
                </c:pt>
                <c:pt idx="8">
                  <c:v>40.200000000000003</c:v>
                </c:pt>
                <c:pt idx="9">
                  <c:v>40.9</c:v>
                </c:pt>
                <c:pt idx="10">
                  <c:v>44.6</c:v>
                </c:pt>
                <c:pt idx="11">
                  <c:v>43.5</c:v>
                </c:pt>
                <c:pt idx="12">
                  <c:v>42.3</c:v>
                </c:pt>
                <c:pt idx="13">
                  <c:v>47.8</c:v>
                </c:pt>
                <c:pt idx="14">
                  <c:v>44.8</c:v>
                </c:pt>
                <c:pt idx="15">
                  <c:v>45.5</c:v>
                </c:pt>
                <c:pt idx="16">
                  <c:v>44.8</c:v>
                </c:pt>
                <c:pt idx="17">
                  <c:v>47.7</c:v>
                </c:pt>
                <c:pt idx="18">
                  <c:v>47.8</c:v>
                </c:pt>
                <c:pt idx="19">
                  <c:v>45</c:v>
                </c:pt>
                <c:pt idx="20">
                  <c:v>49.7</c:v>
                </c:pt>
                <c:pt idx="21">
                  <c:v>49.7</c:v>
                </c:pt>
                <c:pt idx="22">
                  <c:v>50.7</c:v>
                </c:pt>
                <c:pt idx="23">
                  <c:v>53.5</c:v>
                </c:pt>
                <c:pt idx="24">
                  <c:v>56.7</c:v>
                </c:pt>
                <c:pt idx="25">
                  <c:v>53.4</c:v>
                </c:pt>
                <c:pt idx="26">
                  <c:v>52.7</c:v>
                </c:pt>
                <c:pt idx="27">
                  <c:v>52.5</c:v>
                </c:pt>
                <c:pt idx="28">
                  <c:v>58.1</c:v>
                </c:pt>
              </c:numCache>
            </c:numRef>
          </c:val>
          <c:extLst>
            <c:ext xmlns:c16="http://schemas.microsoft.com/office/drawing/2014/chart" uri="{C3380CC4-5D6E-409C-BE32-E72D297353CC}">
              <c16:uniqueId val="{0000000C-292A-45B4-B0B4-9EC3FEBA15A3}"/>
            </c:ext>
          </c:extLst>
        </c:ser>
        <c:dLbls>
          <c:showLegendKey val="0"/>
          <c:showVal val="0"/>
          <c:showCatName val="0"/>
          <c:showSerName val="0"/>
          <c:showPercent val="0"/>
          <c:showBubbleSize val="0"/>
        </c:dLbls>
        <c:gapWidth val="50"/>
        <c:overlap val="50"/>
        <c:axId val="436893632"/>
        <c:axId val="436894024"/>
      </c:barChart>
      <c:catAx>
        <c:axId val="436893632"/>
        <c:scaling>
          <c:orientation val="minMax"/>
        </c:scaling>
        <c:delete val="0"/>
        <c:axPos val="b"/>
        <c:numFmt formatCode="General" sourceLinked="1"/>
        <c:majorTickMark val="out"/>
        <c:minorTickMark val="none"/>
        <c:tickLblPos val="low"/>
        <c:spPr>
          <a:ln w="1379">
            <a:solidFill>
              <a:srgbClr val="000000"/>
            </a:solidFill>
            <a:prstDash val="solid"/>
          </a:ln>
        </c:spPr>
        <c:txPr>
          <a:bodyPr rot="0" vert="horz"/>
          <a:lstStyle/>
          <a:p>
            <a:pPr>
              <a:defRPr sz="900"/>
            </a:pPr>
            <a:endParaRPr lang="et-EE"/>
          </a:p>
        </c:txPr>
        <c:crossAx val="436894024"/>
        <c:crosses val="autoZero"/>
        <c:auto val="1"/>
        <c:lblAlgn val="ctr"/>
        <c:lblOffset val="0"/>
        <c:tickLblSkip val="1"/>
        <c:tickMarkSkip val="1"/>
        <c:noMultiLvlLbl val="0"/>
      </c:catAx>
      <c:valAx>
        <c:axId val="436894024"/>
        <c:scaling>
          <c:orientation val="minMax"/>
          <c:max val="65"/>
          <c:min val="0"/>
        </c:scaling>
        <c:delete val="0"/>
        <c:axPos val="l"/>
        <c:majorGridlines>
          <c:spPr>
            <a:ln w="1379">
              <a:solidFill>
                <a:srgbClr val="000000"/>
              </a:solidFill>
              <a:prstDash val="dash"/>
            </a:ln>
          </c:spPr>
        </c:majorGridlines>
        <c:minorGridlines>
          <c:spPr>
            <a:ln w="1379">
              <a:solidFill>
                <a:srgbClr val="000000"/>
              </a:solidFill>
              <a:prstDash val="dash"/>
            </a:ln>
          </c:spPr>
        </c:minorGridlines>
        <c:numFmt formatCode="#,##0" sourceLinked="0"/>
        <c:majorTickMark val="in"/>
        <c:minorTickMark val="none"/>
        <c:tickLblPos val="nextTo"/>
        <c:spPr>
          <a:ln w="1379">
            <a:solidFill>
              <a:srgbClr val="000000"/>
            </a:solidFill>
            <a:prstDash val="solid"/>
          </a:ln>
        </c:spPr>
        <c:txPr>
          <a:bodyPr rot="0" vert="horz"/>
          <a:lstStyle/>
          <a:p>
            <a:pPr>
              <a:defRPr/>
            </a:pPr>
            <a:endParaRPr lang="et-EE"/>
          </a:p>
        </c:txPr>
        <c:crossAx val="436893632"/>
        <c:crossesAt val="1"/>
        <c:crossBetween val="between"/>
        <c:majorUnit val="10"/>
        <c:minorUnit val="10"/>
      </c:valAx>
      <c:spPr>
        <a:noFill/>
        <a:ln w="1379">
          <a:noFill/>
          <a:prstDash val="solid"/>
        </a:ln>
      </c:spPr>
    </c:plotArea>
    <c:plotVisOnly val="1"/>
    <c:dispBlanksAs val="gap"/>
    <c:showDLblsOverMax val="0"/>
  </c:chart>
  <c:spPr>
    <a:noFill/>
    <a:ln>
      <a:noFill/>
    </a:ln>
  </c:spPr>
  <c:txPr>
    <a:bodyPr/>
    <a:lstStyle/>
    <a:p>
      <a:pPr>
        <a:defRPr sz="800" b="0" i="0" u="none" strike="noStrike" baseline="0">
          <a:solidFill>
            <a:sysClr val="windowText" lastClr="000000"/>
          </a:solidFill>
          <a:latin typeface="Segoe UI Light" panose="020B0502040204020203" pitchFamily="34" charset="0"/>
          <a:ea typeface="Garamond"/>
          <a:cs typeface="Garamond"/>
        </a:defRPr>
      </a:pPr>
      <a:endParaRPr lang="et-EE"/>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305507136035475E-2"/>
          <c:y val="4.7223373394115212E-2"/>
          <c:w val="0.89276361924225056"/>
          <c:h val="0.55142174208969463"/>
        </c:manualLayout>
      </c:layout>
      <c:areaChart>
        <c:grouping val="stacked"/>
        <c:varyColors val="0"/>
        <c:ser>
          <c:idx val="1"/>
          <c:order val="0"/>
          <c:tx>
            <c:strRef>
              <c:f>Joonised!$N$521</c:f>
              <c:strCache>
                <c:ptCount val="1"/>
                <c:pt idx="0">
                  <c:v>01 Üldised avalikud teenused</c:v>
                </c:pt>
              </c:strCache>
            </c:strRef>
          </c:tx>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Joonised!$N$522:$N$549</c:f>
              <c:numCache>
                <c:formatCode>0.0</c:formatCode>
                <c:ptCount val="28"/>
                <c:pt idx="0">
                  <c:v>3.5422007342016069</c:v>
                </c:pt>
                <c:pt idx="1">
                  <c:v>2.9976184236259815</c:v>
                </c:pt>
                <c:pt idx="2">
                  <c:v>3.3587409073013186</c:v>
                </c:pt>
                <c:pt idx="3">
                  <c:v>3.1185572584717414</c:v>
                </c:pt>
                <c:pt idx="4">
                  <c:v>3.1504954870175039</c:v>
                </c:pt>
                <c:pt idx="5">
                  <c:v>3.1094351270478144</c:v>
                </c:pt>
                <c:pt idx="6">
                  <c:v>3.43644593381355</c:v>
                </c:pt>
                <c:pt idx="7">
                  <c:v>3.3453784030322136</c:v>
                </c:pt>
                <c:pt idx="8">
                  <c:v>3.1589791412715491</c:v>
                </c:pt>
                <c:pt idx="9">
                  <c:v>3.7335143808697477</c:v>
                </c:pt>
                <c:pt idx="10">
                  <c:v>3.2691731911139601</c:v>
                </c:pt>
                <c:pt idx="11">
                  <c:v>3.3756796429749061</c:v>
                </c:pt>
                <c:pt idx="12">
                  <c:v>3.958841104610626</c:v>
                </c:pt>
                <c:pt idx="13">
                  <c:v>3.9304606571343528</c:v>
                </c:pt>
                <c:pt idx="14">
                  <c:v>3.8756214225204553</c:v>
                </c:pt>
                <c:pt idx="15">
                  <c:v>4.0293146820607522</c:v>
                </c:pt>
                <c:pt idx="16">
                  <c:v>3.9631412688121608</c:v>
                </c:pt>
                <c:pt idx="17">
                  <c:v>3.8512855800214818</c:v>
                </c:pt>
                <c:pt idx="18">
                  <c:v>3.8988906792265743</c:v>
                </c:pt>
                <c:pt idx="19">
                  <c:v>3.5730769785521628</c:v>
                </c:pt>
                <c:pt idx="20">
                  <c:v>3.9756053158565452</c:v>
                </c:pt>
                <c:pt idx="21">
                  <c:v>3.8608874201931411</c:v>
                </c:pt>
                <c:pt idx="22">
                  <c:v>3.676342765908537</c:v>
                </c:pt>
                <c:pt idx="23">
                  <c:v>4.096937636177814</c:v>
                </c:pt>
                <c:pt idx="24">
                  <c:v>3.9632698683249972</c:v>
                </c:pt>
                <c:pt idx="25">
                  <c:v>3.9329396985911766</c:v>
                </c:pt>
                <c:pt idx="26">
                  <c:v>3.9420930503060561</c:v>
                </c:pt>
                <c:pt idx="27">
                  <c:v>3.7842280493245832</c:v>
                </c:pt>
              </c:numCache>
            </c:numRef>
          </c:val>
          <c:extLst>
            <c:ext xmlns:c16="http://schemas.microsoft.com/office/drawing/2014/chart" uri="{C3380CC4-5D6E-409C-BE32-E72D297353CC}">
              <c16:uniqueId val="{00000000-2041-406E-BDB7-73ADD18AB52F}"/>
            </c:ext>
          </c:extLst>
        </c:ser>
        <c:ser>
          <c:idx val="2"/>
          <c:order val="1"/>
          <c:tx>
            <c:strRef>
              <c:f>Joonised!$O$521</c:f>
              <c:strCache>
                <c:ptCount val="1"/>
                <c:pt idx="0">
                  <c:v>02 Riigikaitse</c:v>
                </c:pt>
              </c:strCache>
            </c:strRef>
          </c:tx>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Joonised!$O$522:$O$549</c:f>
              <c:numCache>
                <c:formatCode>0.0</c:formatCode>
                <c:ptCount val="28"/>
                <c:pt idx="0">
                  <c:v>1.1990729758078531</c:v>
                </c:pt>
                <c:pt idx="1">
                  <c:v>1.2928659613348699</c:v>
                </c:pt>
                <c:pt idx="2">
                  <c:v>1.3529504073153658</c:v>
                </c:pt>
                <c:pt idx="3">
                  <c:v>1.3272159006912361</c:v>
                </c:pt>
                <c:pt idx="4">
                  <c:v>1.3583954567400147</c:v>
                </c:pt>
                <c:pt idx="5">
                  <c:v>1.3787367669718396</c:v>
                </c:pt>
                <c:pt idx="6">
                  <c:v>1.2964102900524079</c:v>
                </c:pt>
                <c:pt idx="7">
                  <c:v>1.2555840561143505</c:v>
                </c:pt>
                <c:pt idx="8">
                  <c:v>1.6936840220896545</c:v>
                </c:pt>
                <c:pt idx="9">
                  <c:v>2.217873601300687</c:v>
                </c:pt>
                <c:pt idx="10">
                  <c:v>1.7257520549922429</c:v>
                </c:pt>
                <c:pt idx="11">
                  <c:v>1.4991796759770617</c:v>
                </c:pt>
                <c:pt idx="12">
                  <c:v>1.8132223531193086</c:v>
                </c:pt>
                <c:pt idx="13">
                  <c:v>1.8220608954607587</c:v>
                </c:pt>
                <c:pt idx="14">
                  <c:v>1.7760167725755418</c:v>
                </c:pt>
                <c:pt idx="15">
                  <c:v>1.8854846761958772</c:v>
                </c:pt>
                <c:pt idx="16">
                  <c:v>2.3652858436906548</c:v>
                </c:pt>
                <c:pt idx="17">
                  <c:v>2.0374597207303973</c:v>
                </c:pt>
                <c:pt idx="18">
                  <c:v>2.0430198749045587</c:v>
                </c:pt>
                <c:pt idx="19">
                  <c:v>2.1159962110161463</c:v>
                </c:pt>
                <c:pt idx="20">
                  <c:v>2.3979610413253232</c:v>
                </c:pt>
                <c:pt idx="21">
                  <c:v>2.053322211171356</c:v>
                </c:pt>
                <c:pt idx="22">
                  <c:v>2.3676943829062678</c:v>
                </c:pt>
                <c:pt idx="23">
                  <c:v>2.8315184932964055</c:v>
                </c:pt>
                <c:pt idx="24">
                  <c:v>3.1973687638581203</c:v>
                </c:pt>
                <c:pt idx="25">
                  <c:v>3.0641004412941579</c:v>
                </c:pt>
                <c:pt idx="26">
                  <c:v>3.0197768290820224</c:v>
                </c:pt>
                <c:pt idx="27">
                  <c:v>3.014568235564469</c:v>
                </c:pt>
              </c:numCache>
            </c:numRef>
          </c:val>
          <c:extLst>
            <c:ext xmlns:c16="http://schemas.microsoft.com/office/drawing/2014/chart" uri="{C3380CC4-5D6E-409C-BE32-E72D297353CC}">
              <c16:uniqueId val="{00000001-2041-406E-BDB7-73ADD18AB52F}"/>
            </c:ext>
          </c:extLst>
        </c:ser>
        <c:ser>
          <c:idx val="3"/>
          <c:order val="2"/>
          <c:tx>
            <c:strRef>
              <c:f>Joonised!$P$521</c:f>
              <c:strCache>
                <c:ptCount val="1"/>
                <c:pt idx="0">
                  <c:v>03 Avalik kord ja julgeolek</c:v>
                </c:pt>
              </c:strCache>
            </c:strRef>
          </c:tx>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Joonised!$P$522:$P$549</c:f>
              <c:numCache>
                <c:formatCode>0.0</c:formatCode>
                <c:ptCount val="28"/>
                <c:pt idx="0">
                  <c:v>2.7492914789440519</c:v>
                </c:pt>
                <c:pt idx="1">
                  <c:v>2.5270953027419414</c:v>
                </c:pt>
                <c:pt idx="2">
                  <c:v>2.6624633133571503</c:v>
                </c:pt>
                <c:pt idx="3">
                  <c:v>2.5366856878844555</c:v>
                </c:pt>
                <c:pt idx="4">
                  <c:v>2.1807975254289991</c:v>
                </c:pt>
                <c:pt idx="5">
                  <c:v>2.1188264326720141</c:v>
                </c:pt>
                <c:pt idx="6">
                  <c:v>1.9999230413095166</c:v>
                </c:pt>
                <c:pt idx="7">
                  <c:v>2.1190648834372841</c:v>
                </c:pt>
                <c:pt idx="8">
                  <c:v>2.6565235548744761</c:v>
                </c:pt>
                <c:pt idx="9">
                  <c:v>2.335381498323915</c:v>
                </c:pt>
                <c:pt idx="10">
                  <c:v>2.1630771371540201</c:v>
                </c:pt>
                <c:pt idx="11">
                  <c:v>2.0405005974257744</c:v>
                </c:pt>
                <c:pt idx="12">
                  <c:v>2.0165381501235204</c:v>
                </c:pt>
                <c:pt idx="13">
                  <c:v>1.8583129721005489</c:v>
                </c:pt>
                <c:pt idx="14">
                  <c:v>1.9068394366268653</c:v>
                </c:pt>
                <c:pt idx="15">
                  <c:v>1.7778811805363697</c:v>
                </c:pt>
                <c:pt idx="16">
                  <c:v>1.9123685505267174</c:v>
                </c:pt>
                <c:pt idx="17">
                  <c:v>1.9006780343716432</c:v>
                </c:pt>
                <c:pt idx="18">
                  <c:v>1.8650068170550322</c:v>
                </c:pt>
                <c:pt idx="19">
                  <c:v>1.8018635242532202</c:v>
                </c:pt>
                <c:pt idx="20">
                  <c:v>1.9694156198798471</c:v>
                </c:pt>
                <c:pt idx="21">
                  <c:v>1.8422150213353015</c:v>
                </c:pt>
                <c:pt idx="22">
                  <c:v>1.8422150213353015</c:v>
                </c:pt>
                <c:pt idx="23">
                  <c:v>1.8422150213353015</c:v>
                </c:pt>
                <c:pt idx="24">
                  <c:v>1.8422150213353015</c:v>
                </c:pt>
                <c:pt idx="25">
                  <c:v>1.8422150213353017</c:v>
                </c:pt>
                <c:pt idx="26">
                  <c:v>1.8422150213353017</c:v>
                </c:pt>
                <c:pt idx="27">
                  <c:v>1.8422150213353017</c:v>
                </c:pt>
              </c:numCache>
            </c:numRef>
          </c:val>
          <c:extLst>
            <c:ext xmlns:c16="http://schemas.microsoft.com/office/drawing/2014/chart" uri="{C3380CC4-5D6E-409C-BE32-E72D297353CC}">
              <c16:uniqueId val="{00000002-2041-406E-BDB7-73ADD18AB52F}"/>
            </c:ext>
          </c:extLst>
        </c:ser>
        <c:ser>
          <c:idx val="4"/>
          <c:order val="3"/>
          <c:tx>
            <c:strRef>
              <c:f>Joonised!$Q$521</c:f>
              <c:strCache>
                <c:ptCount val="1"/>
                <c:pt idx="0">
                  <c:v>04 Majandus</c:v>
                </c:pt>
              </c:strCache>
            </c:strRef>
          </c:tx>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Joonised!$Q$522:$Q$549</c:f>
              <c:numCache>
                <c:formatCode>0.0</c:formatCode>
                <c:ptCount val="28"/>
                <c:pt idx="0">
                  <c:v>4.5373827586575173</c:v>
                </c:pt>
                <c:pt idx="1">
                  <c:v>4.3677131038901456</c:v>
                </c:pt>
                <c:pt idx="2">
                  <c:v>4.5979872671652506</c:v>
                </c:pt>
                <c:pt idx="3">
                  <c:v>4.4766386452255649</c:v>
                </c:pt>
                <c:pt idx="4">
                  <c:v>3.86447141232212</c:v>
                </c:pt>
                <c:pt idx="5">
                  <c:v>4.0700521067230113</c:v>
                </c:pt>
                <c:pt idx="6">
                  <c:v>4.3280045462557339</c:v>
                </c:pt>
                <c:pt idx="7">
                  <c:v>4.3631393499262634</c:v>
                </c:pt>
                <c:pt idx="8">
                  <c:v>4.9139675530890763</c:v>
                </c:pt>
                <c:pt idx="9">
                  <c:v>6.2391767838620531</c:v>
                </c:pt>
                <c:pt idx="10">
                  <c:v>4.6208440989032065</c:v>
                </c:pt>
                <c:pt idx="11">
                  <c:v>4.4767418465363384</c:v>
                </c:pt>
                <c:pt idx="12">
                  <c:v>4.5754364235907019</c:v>
                </c:pt>
                <c:pt idx="13">
                  <c:v>4.5945566697821034</c:v>
                </c:pt>
                <c:pt idx="14">
                  <c:v>4.5787932417963191</c:v>
                </c:pt>
                <c:pt idx="15">
                  <c:v>4.6860837659284682</c:v>
                </c:pt>
                <c:pt idx="16">
                  <c:v>4.2951273456287735</c:v>
                </c:pt>
                <c:pt idx="17">
                  <c:v>4.6858216970998923</c:v>
                </c:pt>
                <c:pt idx="18">
                  <c:v>4.0414291026276654</c:v>
                </c:pt>
                <c:pt idx="19">
                  <c:v>3.9589072709177717</c:v>
                </c:pt>
                <c:pt idx="20">
                  <c:v>5.7662479519388317</c:v>
                </c:pt>
                <c:pt idx="21">
                  <c:v>4.8686194616445828</c:v>
                </c:pt>
                <c:pt idx="22">
                  <c:v>4.752688230802617</c:v>
                </c:pt>
                <c:pt idx="23">
                  <c:v>5.7377429967167117</c:v>
                </c:pt>
                <c:pt idx="24">
                  <c:v>4.7184989760287142</c:v>
                </c:pt>
                <c:pt idx="25">
                  <c:v>4.1860960969359136</c:v>
                </c:pt>
                <c:pt idx="26">
                  <c:v>4.3172302570220644</c:v>
                </c:pt>
                <c:pt idx="27">
                  <c:v>3.6713915896255762</c:v>
                </c:pt>
              </c:numCache>
            </c:numRef>
          </c:val>
          <c:extLst>
            <c:ext xmlns:c16="http://schemas.microsoft.com/office/drawing/2014/chart" uri="{C3380CC4-5D6E-409C-BE32-E72D297353CC}">
              <c16:uniqueId val="{00000003-2041-406E-BDB7-73ADD18AB52F}"/>
            </c:ext>
          </c:extLst>
        </c:ser>
        <c:ser>
          <c:idx val="5"/>
          <c:order val="4"/>
          <c:tx>
            <c:strRef>
              <c:f>Joonised!$R$521</c:f>
              <c:strCache>
                <c:ptCount val="1"/>
                <c:pt idx="0">
                  <c:v>05 Keskkonnakaitse</c:v>
                </c:pt>
              </c:strCache>
            </c:strRef>
          </c:tx>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Joonised!$R$522:$R$549</c:f>
              <c:numCache>
                <c:formatCode>0.0</c:formatCode>
                <c:ptCount val="28"/>
                <c:pt idx="0">
                  <c:v>0.53076374637648549</c:v>
                </c:pt>
                <c:pt idx="1">
                  <c:v>0.72509186105838386</c:v>
                </c:pt>
                <c:pt idx="2">
                  <c:v>0.6170680327982262</c:v>
                </c:pt>
                <c:pt idx="3">
                  <c:v>0.71447884404136308</c:v>
                </c:pt>
                <c:pt idx="4">
                  <c:v>0.69760971498244728</c:v>
                </c:pt>
                <c:pt idx="5">
                  <c:v>0.92709682795099368</c:v>
                </c:pt>
                <c:pt idx="6">
                  <c:v>0.7927423559763016</c:v>
                </c:pt>
                <c:pt idx="7">
                  <c:v>0.85494358750476884</c:v>
                </c:pt>
                <c:pt idx="8">
                  <c:v>1.0740288670951785</c:v>
                </c:pt>
                <c:pt idx="9">
                  <c:v>0.7662640710077564</c:v>
                </c:pt>
                <c:pt idx="10">
                  <c:v>-0.25633977892867232</c:v>
                </c:pt>
                <c:pt idx="11">
                  <c:v>-0.17053688743773945</c:v>
                </c:pt>
                <c:pt idx="12">
                  <c:v>0.87697249770481689</c:v>
                </c:pt>
                <c:pt idx="13">
                  <c:v>0.6619944429874729</c:v>
                </c:pt>
                <c:pt idx="14">
                  <c:v>0.67889033996330705</c:v>
                </c:pt>
                <c:pt idx="15">
                  <c:v>0.72462714419353125</c:v>
                </c:pt>
                <c:pt idx="16">
                  <c:v>0.59224108994431646</c:v>
                </c:pt>
                <c:pt idx="17">
                  <c:v>0.73551624597207299</c:v>
                </c:pt>
                <c:pt idx="18">
                  <c:v>0.75065071888943979</c:v>
                </c:pt>
                <c:pt idx="19">
                  <c:v>0.6753833061689577</c:v>
                </c:pt>
                <c:pt idx="20">
                  <c:v>0.67067176406335327</c:v>
                </c:pt>
                <c:pt idx="21">
                  <c:v>0.55953030254419456</c:v>
                </c:pt>
                <c:pt idx="22">
                  <c:v>0.55953030254419456</c:v>
                </c:pt>
                <c:pt idx="23">
                  <c:v>0.55953030254419456</c:v>
                </c:pt>
                <c:pt idx="24">
                  <c:v>0.55953030254419467</c:v>
                </c:pt>
                <c:pt idx="25">
                  <c:v>0.55953030254419467</c:v>
                </c:pt>
                <c:pt idx="26">
                  <c:v>0.55953030254419478</c:v>
                </c:pt>
                <c:pt idx="27">
                  <c:v>0.55953030254419478</c:v>
                </c:pt>
              </c:numCache>
            </c:numRef>
          </c:val>
          <c:extLst>
            <c:ext xmlns:c16="http://schemas.microsoft.com/office/drawing/2014/chart" uri="{C3380CC4-5D6E-409C-BE32-E72D297353CC}">
              <c16:uniqueId val="{00000004-2041-406E-BDB7-73ADD18AB52F}"/>
            </c:ext>
          </c:extLst>
        </c:ser>
        <c:ser>
          <c:idx val="0"/>
          <c:order val="5"/>
          <c:tx>
            <c:strRef>
              <c:f>Joonised!$S$521</c:f>
              <c:strCache>
                <c:ptCount val="1"/>
                <c:pt idx="0">
                  <c:v>06 Elamu- ja kommunaalmajandus</c:v>
                </c:pt>
              </c:strCache>
            </c:strRef>
          </c:tx>
          <c:spPr>
            <a:ln w="25400">
              <a:noFill/>
            </a:ln>
          </c:spPr>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Joonised!$S$522:$S$549</c:f>
              <c:numCache>
                <c:formatCode>0.0</c:formatCode>
                <c:ptCount val="28"/>
                <c:pt idx="0">
                  <c:v>0.38189098824649576</c:v>
                </c:pt>
                <c:pt idx="1">
                  <c:v>0.34323875079686811</c:v>
                </c:pt>
                <c:pt idx="2">
                  <c:v>0.36027574585734951</c:v>
                </c:pt>
                <c:pt idx="3">
                  <c:v>0.37838799580430588</c:v>
                </c:pt>
                <c:pt idx="4">
                  <c:v>0.279248463622006</c:v>
                </c:pt>
                <c:pt idx="5">
                  <c:v>0.17642185118001782</c:v>
                </c:pt>
                <c:pt idx="6">
                  <c:v>1.2536390745671748E-2</c:v>
                </c:pt>
                <c:pt idx="7">
                  <c:v>0.5805323076351927</c:v>
                </c:pt>
                <c:pt idx="8">
                  <c:v>0.57698249155644732</c:v>
                </c:pt>
                <c:pt idx="9">
                  <c:v>4.7143886829678308E-2</c:v>
                </c:pt>
                <c:pt idx="10">
                  <c:v>0.47029266527858787</c:v>
                </c:pt>
                <c:pt idx="11">
                  <c:v>0.53894410071787346</c:v>
                </c:pt>
                <c:pt idx="12">
                  <c:v>0.65426691079557076</c:v>
                </c:pt>
                <c:pt idx="13">
                  <c:v>0.59632039110379498</c:v>
                </c:pt>
                <c:pt idx="14">
                  <c:v>0.50941552516954713</c:v>
                </c:pt>
                <c:pt idx="15">
                  <c:v>0.35722421757232947</c:v>
                </c:pt>
                <c:pt idx="16">
                  <c:v>0.34164218154396514</c:v>
                </c:pt>
                <c:pt idx="17">
                  <c:v>0.35621979054779807</c:v>
                </c:pt>
                <c:pt idx="18">
                  <c:v>0.3338807635101636</c:v>
                </c:pt>
                <c:pt idx="19">
                  <c:v>0.38583029236560851</c:v>
                </c:pt>
                <c:pt idx="20">
                  <c:v>0.40378663753868566</c:v>
                </c:pt>
                <c:pt idx="21">
                  <c:v>0.46520581346851042</c:v>
                </c:pt>
                <c:pt idx="22">
                  <c:v>0.46520581346851042</c:v>
                </c:pt>
                <c:pt idx="23">
                  <c:v>0.46520581346851031</c:v>
                </c:pt>
                <c:pt idx="24">
                  <c:v>0.46520581346851042</c:v>
                </c:pt>
                <c:pt idx="25">
                  <c:v>0.46520581346851042</c:v>
                </c:pt>
                <c:pt idx="26">
                  <c:v>0.46520581346851042</c:v>
                </c:pt>
                <c:pt idx="27">
                  <c:v>0.46520581346851048</c:v>
                </c:pt>
              </c:numCache>
            </c:numRef>
          </c:val>
          <c:extLst>
            <c:ext xmlns:c16="http://schemas.microsoft.com/office/drawing/2014/chart" uri="{C3380CC4-5D6E-409C-BE32-E72D297353CC}">
              <c16:uniqueId val="{00000005-2041-406E-BDB7-73ADD18AB52F}"/>
            </c:ext>
          </c:extLst>
        </c:ser>
        <c:ser>
          <c:idx val="6"/>
          <c:order val="6"/>
          <c:tx>
            <c:strRef>
              <c:f>Joonised!$T$521</c:f>
              <c:strCache>
                <c:ptCount val="1"/>
                <c:pt idx="0">
                  <c:v>07 Tervishoid</c:v>
                </c:pt>
              </c:strCache>
            </c:strRef>
          </c:tx>
          <c:spPr>
            <a:ln w="25400">
              <a:noFill/>
            </a:ln>
          </c:spPr>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Joonised!$T$522:$T$549</c:f>
              <c:numCache>
                <c:formatCode>0.0</c:formatCode>
                <c:ptCount val="28"/>
                <c:pt idx="0">
                  <c:v>4.5195827549680621</c:v>
                </c:pt>
                <c:pt idx="1">
                  <c:v>4.3348193902721137</c:v>
                </c:pt>
                <c:pt idx="2">
                  <c:v>4.3731343193961258</c:v>
                </c:pt>
                <c:pt idx="3">
                  <c:v>4.2731550704425842</c:v>
                </c:pt>
                <c:pt idx="4">
                  <c:v>4.2204364868292927</c:v>
                </c:pt>
                <c:pt idx="5">
                  <c:v>4.1185681157975162</c:v>
                </c:pt>
                <c:pt idx="6">
                  <c:v>4.3125184165110815</c:v>
                </c:pt>
                <c:pt idx="7">
                  <c:v>4.4039961404846233</c:v>
                </c:pt>
                <c:pt idx="8">
                  <c:v>5.2433283920192153</c:v>
                </c:pt>
                <c:pt idx="9">
                  <c:v>5.8936894938117241</c:v>
                </c:pt>
                <c:pt idx="10">
                  <c:v>5.6253461722378733</c:v>
                </c:pt>
                <c:pt idx="11">
                  <c:v>5.1874112450573708</c:v>
                </c:pt>
                <c:pt idx="12">
                  <c:v>5.1992336645355053</c:v>
                </c:pt>
                <c:pt idx="13">
                  <c:v>5.2003341243571475</c:v>
                </c:pt>
                <c:pt idx="14">
                  <c:v>5.2705676320071042</c:v>
                </c:pt>
                <c:pt idx="15">
                  <c:v>5.6772961471162748</c:v>
                </c:pt>
                <c:pt idx="16">
                  <c:v>5.4023606876985824</c:v>
                </c:pt>
                <c:pt idx="17">
                  <c:v>5.2451161385606868</c:v>
                </c:pt>
                <c:pt idx="18">
                  <c:v>5.4384124756094732</c:v>
                </c:pt>
                <c:pt idx="19">
                  <c:v>5.6809545934225829</c:v>
                </c:pt>
                <c:pt idx="20">
                  <c:v>6.5588931367194609</c:v>
                </c:pt>
                <c:pt idx="21">
                  <c:v>6.5334146106708593</c:v>
                </c:pt>
                <c:pt idx="22">
                  <c:v>5.8510133739769854</c:v>
                </c:pt>
                <c:pt idx="23">
                  <c:v>6.1236312626911387</c:v>
                </c:pt>
                <c:pt idx="24">
                  <c:v>6.2341603988442271</c:v>
                </c:pt>
                <c:pt idx="25">
                  <c:v>6.2684823339278575</c:v>
                </c:pt>
                <c:pt idx="26">
                  <c:v>6.3582132807414311</c:v>
                </c:pt>
                <c:pt idx="27">
                  <c:v>6.4710963343630166</c:v>
                </c:pt>
              </c:numCache>
            </c:numRef>
          </c:val>
          <c:extLst>
            <c:ext xmlns:c16="http://schemas.microsoft.com/office/drawing/2014/chart" uri="{C3380CC4-5D6E-409C-BE32-E72D297353CC}">
              <c16:uniqueId val="{00000006-2041-406E-BDB7-73ADD18AB52F}"/>
            </c:ext>
          </c:extLst>
        </c:ser>
        <c:ser>
          <c:idx val="7"/>
          <c:order val="7"/>
          <c:tx>
            <c:strRef>
              <c:f>Joonised!$U$521</c:f>
              <c:strCache>
                <c:ptCount val="1"/>
                <c:pt idx="0">
                  <c:v>08 Vaba aeg, kultuur ja religioon</c:v>
                </c:pt>
              </c:strCache>
            </c:strRef>
          </c:tx>
          <c:spPr>
            <a:ln w="25400">
              <a:noFill/>
            </a:ln>
          </c:spPr>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Joonised!$U$522:$U$549</c:f>
              <c:numCache>
                <c:formatCode>0.0</c:formatCode>
                <c:ptCount val="28"/>
                <c:pt idx="0">
                  <c:v>1.9660913166080183</c:v>
                </c:pt>
                <c:pt idx="1">
                  <c:v>2.0236784682398685</c:v>
                </c:pt>
                <c:pt idx="2">
                  <c:v>2.2472519041243895</c:v>
                </c:pt>
                <c:pt idx="3">
                  <c:v>2.1834473473904055</c:v>
                </c:pt>
                <c:pt idx="4">
                  <c:v>2.1501108810749328</c:v>
                </c:pt>
                <c:pt idx="5">
                  <c:v>2.3199473430172346</c:v>
                </c:pt>
                <c:pt idx="6">
                  <c:v>2.2049299017387369</c:v>
                </c:pt>
                <c:pt idx="7">
                  <c:v>2.059304204710132</c:v>
                </c:pt>
                <c:pt idx="8">
                  <c:v>2.3548097936647507</c:v>
                </c:pt>
                <c:pt idx="9">
                  <c:v>2.4493711948374659</c:v>
                </c:pt>
                <c:pt idx="10">
                  <c:v>2.1798973326217808</c:v>
                </c:pt>
                <c:pt idx="11">
                  <c:v>1.9769206428758161</c:v>
                </c:pt>
                <c:pt idx="12">
                  <c:v>1.8520019329293762</c:v>
                </c:pt>
                <c:pt idx="13">
                  <c:v>2.0810793560899841</c:v>
                </c:pt>
                <c:pt idx="14">
                  <c:v>2.0094162982125621</c:v>
                </c:pt>
                <c:pt idx="15">
                  <c:v>1.9964810748716755</c:v>
                </c:pt>
                <c:pt idx="16">
                  <c:v>2.0604288230127965</c:v>
                </c:pt>
                <c:pt idx="17">
                  <c:v>2.1448711063372716</c:v>
                </c:pt>
                <c:pt idx="18">
                  <c:v>1.971523301933565</c:v>
                </c:pt>
                <c:pt idx="19">
                  <c:v>2.032436871278998</c:v>
                </c:pt>
                <c:pt idx="20">
                  <c:v>2.0192972874567632</c:v>
                </c:pt>
                <c:pt idx="21">
                  <c:v>2.0696846225416281</c:v>
                </c:pt>
                <c:pt idx="22">
                  <c:v>2.0696846225416277</c:v>
                </c:pt>
                <c:pt idx="23">
                  <c:v>2.0696846225416281</c:v>
                </c:pt>
                <c:pt idx="24">
                  <c:v>2.0696846225416281</c:v>
                </c:pt>
                <c:pt idx="25">
                  <c:v>2.0696846225416285</c:v>
                </c:pt>
                <c:pt idx="26">
                  <c:v>2.0696846225416285</c:v>
                </c:pt>
                <c:pt idx="27">
                  <c:v>2.0696846225416285</c:v>
                </c:pt>
              </c:numCache>
            </c:numRef>
          </c:val>
          <c:extLst>
            <c:ext xmlns:c16="http://schemas.microsoft.com/office/drawing/2014/chart" uri="{C3380CC4-5D6E-409C-BE32-E72D297353CC}">
              <c16:uniqueId val="{00000007-2041-406E-BDB7-73ADD18AB52F}"/>
            </c:ext>
          </c:extLst>
        </c:ser>
        <c:ser>
          <c:idx val="8"/>
          <c:order val="8"/>
          <c:tx>
            <c:strRef>
              <c:f>Joonised!$V$521</c:f>
              <c:strCache>
                <c:ptCount val="1"/>
                <c:pt idx="0">
                  <c:v>09 Haridus</c:v>
                </c:pt>
              </c:strCache>
            </c:strRef>
          </c:tx>
          <c:spPr>
            <a:ln w="25400">
              <a:noFill/>
            </a:ln>
          </c:spPr>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Joonised!$V$522:$V$549</c:f>
              <c:numCache>
                <c:formatCode>0.0</c:formatCode>
                <c:ptCount val="28"/>
                <c:pt idx="0">
                  <c:v>6.3950558709752165</c:v>
                </c:pt>
                <c:pt idx="1">
                  <c:v>6.3384755980488299</c:v>
                </c:pt>
                <c:pt idx="2">
                  <c:v>6.5169027646040423</c:v>
                </c:pt>
                <c:pt idx="3">
                  <c:v>6.2679800030060697</c:v>
                </c:pt>
                <c:pt idx="4">
                  <c:v>6.1588095218611656</c:v>
                </c:pt>
                <c:pt idx="5">
                  <c:v>5.9021930312274966</c:v>
                </c:pt>
                <c:pt idx="6">
                  <c:v>5.8603939562266696</c:v>
                </c:pt>
                <c:pt idx="7">
                  <c:v>5.7376349606507633</c:v>
                </c:pt>
                <c:pt idx="8">
                  <c:v>6.4754264208637125</c:v>
                </c:pt>
                <c:pt idx="9">
                  <c:v>6.9779988908943258</c:v>
                </c:pt>
                <c:pt idx="10">
                  <c:v>6.4636647143510642</c:v>
                </c:pt>
                <c:pt idx="11">
                  <c:v>6.0299941941400004</c:v>
                </c:pt>
                <c:pt idx="12">
                  <c:v>6.0834080842050486</c:v>
                </c:pt>
                <c:pt idx="13">
                  <c:v>5.8717856308158698</c:v>
                </c:pt>
                <c:pt idx="14">
                  <c:v>5.4851366226670404</c:v>
                </c:pt>
                <c:pt idx="15">
                  <c:v>5.9211004638583118</c:v>
                </c:pt>
                <c:pt idx="16">
                  <c:v>5.6584773702288489</c:v>
                </c:pt>
                <c:pt idx="17">
                  <c:v>5.6848314983888288</c:v>
                </c:pt>
                <c:pt idx="18">
                  <c:v>6.2030988500782804</c:v>
                </c:pt>
                <c:pt idx="19">
                  <c:v>6.1156792617964539</c:v>
                </c:pt>
                <c:pt idx="20">
                  <c:v>6.4092481339887124</c:v>
                </c:pt>
                <c:pt idx="21">
                  <c:v>5.9629760338798157</c:v>
                </c:pt>
                <c:pt idx="22">
                  <c:v>5.6465928085883634</c:v>
                </c:pt>
                <c:pt idx="23">
                  <c:v>6.1386494409019408</c:v>
                </c:pt>
                <c:pt idx="24">
                  <c:v>6.0550703829883039</c:v>
                </c:pt>
                <c:pt idx="25">
                  <c:v>5.9965970581944115</c:v>
                </c:pt>
                <c:pt idx="26">
                  <c:v>6.0802743263508523</c:v>
                </c:pt>
                <c:pt idx="27">
                  <c:v>6.0053275335391314</c:v>
                </c:pt>
              </c:numCache>
            </c:numRef>
          </c:val>
          <c:extLst>
            <c:ext xmlns:c16="http://schemas.microsoft.com/office/drawing/2014/chart" uri="{C3380CC4-5D6E-409C-BE32-E72D297353CC}">
              <c16:uniqueId val="{00000008-2041-406E-BDB7-73ADD18AB52F}"/>
            </c:ext>
          </c:extLst>
        </c:ser>
        <c:ser>
          <c:idx val="9"/>
          <c:order val="9"/>
          <c:tx>
            <c:strRef>
              <c:f>Joonised!$W$521</c:f>
              <c:strCache>
                <c:ptCount val="1"/>
                <c:pt idx="0">
                  <c:v>10 Sotsiaalkaitse</c:v>
                </c:pt>
              </c:strCache>
            </c:strRef>
          </c:tx>
          <c:spPr>
            <a:ln w="25400">
              <a:noFill/>
            </a:ln>
          </c:spPr>
          <c:cat>
            <c:strRef>
              <c:f>Joonised!$M$522:$M$549</c:f>
              <c:strCache>
                <c:ptCount val="28"/>
                <c:pt idx="0">
                  <c:v>`00</c:v>
                </c:pt>
                <c:pt idx="1">
                  <c:v>`01</c:v>
                </c:pt>
                <c:pt idx="2">
                  <c:v>`02</c:v>
                </c:pt>
                <c:pt idx="3">
                  <c:v>`03</c:v>
                </c:pt>
                <c:pt idx="4">
                  <c:v>`04</c:v>
                </c:pt>
                <c:pt idx="5">
                  <c:v>`05</c:v>
                </c:pt>
                <c:pt idx="6">
                  <c:v>`06</c:v>
                </c:pt>
                <c:pt idx="7">
                  <c:v>`07</c:v>
                </c:pt>
                <c:pt idx="8">
                  <c:v>`08</c:v>
                </c:pt>
                <c:pt idx="9">
                  <c:v>`09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strCache>
            </c:strRef>
          </c:cat>
          <c:val>
            <c:numRef>
              <c:f>Joonised!$W$522:$W$549</c:f>
              <c:numCache>
                <c:formatCode>0.0</c:formatCode>
                <c:ptCount val="28"/>
                <c:pt idx="0">
                  <c:v>10.495529448164286</c:v>
                </c:pt>
                <c:pt idx="1">
                  <c:v>9.9896778096505159</c:v>
                </c:pt>
                <c:pt idx="2">
                  <c:v>9.7644947715876675</c:v>
                </c:pt>
                <c:pt idx="3">
                  <c:v>9.7477777650251252</c:v>
                </c:pt>
                <c:pt idx="4">
                  <c:v>10.002823171280575</c:v>
                </c:pt>
                <c:pt idx="5">
                  <c:v>9.6167551078227724</c:v>
                </c:pt>
                <c:pt idx="6">
                  <c:v>9.212772328569244</c:v>
                </c:pt>
                <c:pt idx="7">
                  <c:v>9.0238624877999793</c:v>
                </c:pt>
                <c:pt idx="8">
                  <c:v>11.255365749351656</c:v>
                </c:pt>
                <c:pt idx="9">
                  <c:v>14.934761163580927</c:v>
                </c:pt>
                <c:pt idx="10">
                  <c:v>13.682219801295226</c:v>
                </c:pt>
                <c:pt idx="11">
                  <c:v>12.133075625753319</c:v>
                </c:pt>
                <c:pt idx="12">
                  <c:v>11.925274785593105</c:v>
                </c:pt>
                <c:pt idx="13">
                  <c:v>11.560209308772514</c:v>
                </c:pt>
                <c:pt idx="14">
                  <c:v>11.427161488725444</c:v>
                </c:pt>
                <c:pt idx="15">
                  <c:v>12.469887985730418</c:v>
                </c:pt>
                <c:pt idx="16">
                  <c:v>12.805834126513362</c:v>
                </c:pt>
                <c:pt idx="17">
                  <c:v>12.595243689581096</c:v>
                </c:pt>
                <c:pt idx="18">
                  <c:v>12.777550689875907</c:v>
                </c:pt>
                <c:pt idx="19">
                  <c:v>13.060468868743403</c:v>
                </c:pt>
                <c:pt idx="20">
                  <c:v>14.698707445840158</c:v>
                </c:pt>
                <c:pt idx="21">
                  <c:v>13.622509544739966</c:v>
                </c:pt>
                <c:pt idx="22">
                  <c:v>12.383665081974495</c:v>
                </c:pt>
                <c:pt idx="23">
                  <c:v>13.201518172322018</c:v>
                </c:pt>
                <c:pt idx="24">
                  <c:v>13.378777201925068</c:v>
                </c:pt>
                <c:pt idx="25">
                  <c:v>13.713144512583625</c:v>
                </c:pt>
                <c:pt idx="26">
                  <c:v>14.002992869266778</c:v>
                </c:pt>
                <c:pt idx="27">
                  <c:v>14.246947603437674</c:v>
                </c:pt>
              </c:numCache>
            </c:numRef>
          </c:val>
          <c:extLst>
            <c:ext xmlns:c16="http://schemas.microsoft.com/office/drawing/2014/chart" uri="{C3380CC4-5D6E-409C-BE32-E72D297353CC}">
              <c16:uniqueId val="{00000009-2041-406E-BDB7-73ADD18AB52F}"/>
            </c:ext>
          </c:extLst>
        </c:ser>
        <c:dLbls>
          <c:showLegendKey val="0"/>
          <c:showVal val="0"/>
          <c:showCatName val="0"/>
          <c:showSerName val="0"/>
          <c:showPercent val="0"/>
          <c:showBubbleSize val="0"/>
        </c:dLbls>
        <c:axId val="434321920"/>
        <c:axId val="434322312"/>
      </c:areaChart>
      <c:catAx>
        <c:axId val="434321920"/>
        <c:scaling>
          <c:orientation val="minMax"/>
        </c:scaling>
        <c:delete val="0"/>
        <c:axPos val="b"/>
        <c:numFmt formatCode="0" sourceLinked="0"/>
        <c:majorTickMark val="out"/>
        <c:minorTickMark val="none"/>
        <c:tickLblPos val="nextTo"/>
        <c:spPr>
          <a:ln w="3175">
            <a:solidFill>
              <a:sysClr val="windowText" lastClr="000000"/>
            </a:solidFill>
          </a:ln>
        </c:spPr>
        <c:txPr>
          <a:bodyPr rot="0" vert="horz"/>
          <a:lstStyle/>
          <a:p>
            <a:pPr>
              <a:defRPr/>
            </a:pPr>
            <a:endParaRPr lang="et-EE"/>
          </a:p>
        </c:txPr>
        <c:crossAx val="434322312"/>
        <c:crosses val="autoZero"/>
        <c:auto val="1"/>
        <c:lblAlgn val="ctr"/>
        <c:lblOffset val="100"/>
        <c:tickLblSkip val="2"/>
        <c:noMultiLvlLbl val="0"/>
      </c:catAx>
      <c:valAx>
        <c:axId val="434322312"/>
        <c:scaling>
          <c:orientation val="minMax"/>
          <c:max val="50"/>
          <c:min val="0"/>
        </c:scaling>
        <c:delete val="0"/>
        <c:axPos val="l"/>
        <c:majorGridlines>
          <c:spPr>
            <a:ln w="3175">
              <a:solidFill>
                <a:schemeClr val="tx1"/>
              </a:solidFill>
              <a:prstDash val="dash"/>
            </a:ln>
          </c:spPr>
        </c:majorGridlines>
        <c:numFmt formatCode="#,##0" sourceLinked="0"/>
        <c:majorTickMark val="in"/>
        <c:minorTickMark val="none"/>
        <c:tickLblPos val="nextTo"/>
        <c:spPr>
          <a:ln w="3175">
            <a:solidFill>
              <a:sysClr val="windowText" lastClr="000000"/>
            </a:solidFill>
          </a:ln>
        </c:spPr>
        <c:crossAx val="434321920"/>
        <c:crosses val="autoZero"/>
        <c:crossBetween val="midCat"/>
        <c:majorUnit val="10"/>
      </c:valAx>
      <c:spPr>
        <a:ln w="3175">
          <a:noFill/>
        </a:ln>
      </c:spPr>
    </c:plotArea>
    <c:legend>
      <c:legendPos val="b"/>
      <c:layout>
        <c:manualLayout>
          <c:xMode val="edge"/>
          <c:yMode val="edge"/>
          <c:x val="0.11586452762923352"/>
          <c:y val="0.7061254462305846"/>
          <c:w val="0.71150431100692557"/>
          <c:h val="0.25511992787605148"/>
        </c:manualLayout>
      </c:layout>
      <c:overlay val="0"/>
    </c:legend>
    <c:plotVisOnly val="1"/>
    <c:dispBlanksAs val="zero"/>
    <c:showDLblsOverMax val="0"/>
  </c:chart>
  <c:spPr>
    <a:ln>
      <a:noFill/>
    </a:ln>
  </c:spPr>
  <c:txPr>
    <a:bodyPr/>
    <a:lstStyle/>
    <a:p>
      <a:pPr>
        <a:defRPr sz="800">
          <a:latin typeface="Segoe UI Light" panose="020B0502040204020203" pitchFamily="34" charset="0"/>
          <a:cs typeface="Segoe UI Light" panose="020B0502040204020203" pitchFamily="34" charset="0"/>
        </a:defRPr>
      </a:pPr>
      <a:endParaRPr lang="et-EE"/>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81164982861738"/>
          <c:y val="5.0091056720502299E-2"/>
          <c:w val="0.77655959224238724"/>
          <c:h val="0.60159143984358598"/>
        </c:manualLayout>
      </c:layout>
      <c:barChart>
        <c:barDir val="col"/>
        <c:grouping val="stacked"/>
        <c:varyColors val="0"/>
        <c:ser>
          <c:idx val="0"/>
          <c:order val="0"/>
          <c:tx>
            <c:strRef>
              <c:f>Joonised!$O$715</c:f>
              <c:strCache>
                <c:ptCount val="1"/>
                <c:pt idx="0">
                  <c:v> likviidsusreservi maht (turuväärtus) </c:v>
                </c:pt>
              </c:strCache>
            </c:strRef>
          </c:tx>
          <c:spPr>
            <a:solidFill>
              <a:srgbClr val="0099FF"/>
            </a:solidFill>
          </c:spPr>
          <c:invertIfNegative val="0"/>
          <c:dLbls>
            <c:dLbl>
              <c:idx val="6"/>
              <c:layout>
                <c:manualLayout>
                  <c:x val="4.3149946062566455E-3"/>
                  <c:y val="-2.00350613573754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2C9-418F-BEED-0FA1B167DF74}"/>
                </c:ext>
              </c:extLst>
            </c:dLbl>
            <c:dLbl>
              <c:idx val="7"/>
              <c:layout>
                <c:manualLayout>
                  <c:x val="-7.9107320593524124E-17"/>
                  <c:y val="1.5026296018031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2C9-418F-BEED-0FA1B167DF74}"/>
                </c:ext>
              </c:extLst>
            </c:dLbl>
            <c:dLbl>
              <c:idx val="8"/>
              <c:layout>
                <c:manualLayout>
                  <c:x val="4.3149946062567245E-3"/>
                  <c:y val="-2.50438266967194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2C9-418F-BEED-0FA1B167DF74}"/>
                </c:ext>
              </c:extLst>
            </c:dLbl>
            <c:spPr>
              <a:noFill/>
              <a:ln>
                <a:noFill/>
              </a:ln>
              <a:effectLst/>
            </c:spPr>
            <c:txPr>
              <a:bodyPr wrap="square" lIns="38100" tIns="19050" rIns="38100" bIns="19050" anchor="ctr">
                <a:spAutoFit/>
              </a:bodyPr>
              <a:lstStyle/>
              <a:p>
                <a:pPr>
                  <a:defRPr sz="800"/>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Joonised!$N$724:$N$735</c:f>
              <c:strCache>
                <c:ptCount val="12"/>
                <c:pt idx="0">
                  <c:v> '12</c:v>
                </c:pt>
                <c:pt idx="1">
                  <c:v> '13</c:v>
                </c:pt>
                <c:pt idx="2">
                  <c:v> '14</c:v>
                </c:pt>
                <c:pt idx="3">
                  <c:v> '15</c:v>
                </c:pt>
                <c:pt idx="4">
                  <c:v> '16</c:v>
                </c:pt>
                <c:pt idx="5">
                  <c:v> '17</c:v>
                </c:pt>
                <c:pt idx="6">
                  <c:v> '18</c:v>
                </c:pt>
                <c:pt idx="7">
                  <c:v> '19</c:v>
                </c:pt>
                <c:pt idx="8">
                  <c:v> '20</c:v>
                </c:pt>
                <c:pt idx="9">
                  <c:v> '21</c:v>
                </c:pt>
                <c:pt idx="10">
                  <c:v> '22</c:v>
                </c:pt>
                <c:pt idx="11">
                  <c:v> '23*</c:v>
                </c:pt>
              </c:strCache>
            </c:strRef>
          </c:cat>
          <c:val>
            <c:numRef>
              <c:f>Joonised!$O$724:$O$735</c:f>
              <c:numCache>
                <c:formatCode>#,##0</c:formatCode>
                <c:ptCount val="12"/>
                <c:pt idx="0">
                  <c:v>1106.0999999999999</c:v>
                </c:pt>
                <c:pt idx="1">
                  <c:v>1055.3</c:v>
                </c:pt>
                <c:pt idx="2">
                  <c:v>1125</c:v>
                </c:pt>
                <c:pt idx="3">
                  <c:v>748</c:v>
                </c:pt>
                <c:pt idx="4">
                  <c:v>785</c:v>
                </c:pt>
                <c:pt idx="5" formatCode="General">
                  <c:v>743</c:v>
                </c:pt>
                <c:pt idx="6" formatCode="0">
                  <c:v>676.60301800000002</c:v>
                </c:pt>
                <c:pt idx="7" formatCode="0">
                  <c:v>961.71854199999996</c:v>
                </c:pt>
                <c:pt idx="8" formatCode="0">
                  <c:v>1763.3507099999999</c:v>
                </c:pt>
                <c:pt idx="9" formatCode="0">
                  <c:v>1670.7</c:v>
                </c:pt>
                <c:pt idx="10" formatCode="0">
                  <c:v>2586.9899999999998</c:v>
                </c:pt>
                <c:pt idx="11" formatCode="0">
                  <c:v>1897.4</c:v>
                </c:pt>
              </c:numCache>
            </c:numRef>
          </c:val>
          <c:extLst>
            <c:ext xmlns:c16="http://schemas.microsoft.com/office/drawing/2014/chart" uri="{C3380CC4-5D6E-409C-BE32-E72D297353CC}">
              <c16:uniqueId val="{00000003-02C9-418F-BEED-0FA1B167DF74}"/>
            </c:ext>
          </c:extLst>
        </c:ser>
        <c:ser>
          <c:idx val="2"/>
          <c:order val="2"/>
          <c:tx>
            <c:strRef>
              <c:f>Joonised!$Q$715</c:f>
              <c:strCache>
                <c:ptCount val="1"/>
                <c:pt idx="0">
                  <c:v>stabiliseerimisreservi maht (turuväärtus)</c:v>
                </c:pt>
              </c:strCache>
            </c:strRef>
          </c:tx>
          <c:spPr>
            <a:solidFill>
              <a:schemeClr val="accent1">
                <a:lumMod val="50000"/>
              </a:schemeClr>
            </a:solidFill>
          </c:spPr>
          <c:invertIfNegative val="0"/>
          <c:dLbls>
            <c:spPr>
              <a:noFill/>
              <a:ln>
                <a:noFill/>
              </a:ln>
              <a:effectLst/>
            </c:spPr>
            <c:txPr>
              <a:bodyPr wrap="square" lIns="38100" tIns="19050" rIns="38100" bIns="19050" anchor="ctr">
                <a:spAutoFit/>
              </a:bodyPr>
              <a:lstStyle/>
              <a:p>
                <a:pPr>
                  <a:defRPr sz="800">
                    <a:solidFill>
                      <a:schemeClr val="bg1"/>
                    </a:solidFill>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Joonised!$N$724:$N$735</c:f>
              <c:strCache>
                <c:ptCount val="12"/>
                <c:pt idx="0">
                  <c:v> '12</c:v>
                </c:pt>
                <c:pt idx="1">
                  <c:v> '13</c:v>
                </c:pt>
                <c:pt idx="2">
                  <c:v> '14</c:v>
                </c:pt>
                <c:pt idx="3">
                  <c:v> '15</c:v>
                </c:pt>
                <c:pt idx="4">
                  <c:v> '16</c:v>
                </c:pt>
                <c:pt idx="5">
                  <c:v> '17</c:v>
                </c:pt>
                <c:pt idx="6">
                  <c:v> '18</c:v>
                </c:pt>
                <c:pt idx="7">
                  <c:v> '19</c:v>
                </c:pt>
                <c:pt idx="8">
                  <c:v> '20</c:v>
                </c:pt>
                <c:pt idx="9">
                  <c:v> '21</c:v>
                </c:pt>
                <c:pt idx="10">
                  <c:v> '22</c:v>
                </c:pt>
                <c:pt idx="11">
                  <c:v> '23*</c:v>
                </c:pt>
              </c:strCache>
            </c:strRef>
          </c:cat>
          <c:val>
            <c:numRef>
              <c:f>Joonised!$Q$724:$Q$735</c:f>
              <c:numCache>
                <c:formatCode>#,##0</c:formatCode>
                <c:ptCount val="12"/>
                <c:pt idx="0">
                  <c:v>347</c:v>
                </c:pt>
                <c:pt idx="1">
                  <c:v>360.9</c:v>
                </c:pt>
                <c:pt idx="2">
                  <c:v>369</c:v>
                </c:pt>
                <c:pt idx="3">
                  <c:v>398</c:v>
                </c:pt>
                <c:pt idx="4">
                  <c:v>406</c:v>
                </c:pt>
                <c:pt idx="5">
                  <c:v>412</c:v>
                </c:pt>
                <c:pt idx="6">
                  <c:v>411.5</c:v>
                </c:pt>
                <c:pt idx="7">
                  <c:v>414.37343499999997</c:v>
                </c:pt>
                <c:pt idx="8">
                  <c:v>431.9</c:v>
                </c:pt>
                <c:pt idx="9">
                  <c:v>430.1</c:v>
                </c:pt>
                <c:pt idx="10">
                  <c:v>423.93</c:v>
                </c:pt>
                <c:pt idx="11">
                  <c:v>429.7</c:v>
                </c:pt>
              </c:numCache>
            </c:numRef>
          </c:val>
          <c:extLst>
            <c:ext xmlns:c16="http://schemas.microsoft.com/office/drawing/2014/chart" uri="{C3380CC4-5D6E-409C-BE32-E72D297353CC}">
              <c16:uniqueId val="{00000004-02C9-418F-BEED-0FA1B167DF74}"/>
            </c:ext>
          </c:extLst>
        </c:ser>
        <c:dLbls>
          <c:showLegendKey val="0"/>
          <c:showVal val="0"/>
          <c:showCatName val="0"/>
          <c:showSerName val="0"/>
          <c:showPercent val="0"/>
          <c:showBubbleSize val="0"/>
        </c:dLbls>
        <c:gapWidth val="0"/>
        <c:overlap val="100"/>
        <c:axId val="436215216"/>
        <c:axId val="436215608"/>
      </c:barChart>
      <c:lineChart>
        <c:grouping val="standard"/>
        <c:varyColors val="0"/>
        <c:ser>
          <c:idx val="1"/>
          <c:order val="1"/>
          <c:tx>
            <c:strRef>
              <c:f>Joonised!$P$715</c:f>
              <c:strCache>
                <c:ptCount val="1"/>
                <c:pt idx="0">
                  <c:v>likviidsusreservi tulusus (aasta baasil)</c:v>
                </c:pt>
              </c:strCache>
            </c:strRef>
          </c:tx>
          <c:spPr>
            <a:ln>
              <a:solidFill>
                <a:srgbClr val="F79646">
                  <a:lumMod val="75000"/>
                </a:srgbClr>
              </a:solidFill>
            </a:ln>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5-02C9-418F-BEED-0FA1B167DF74}"/>
                </c:ext>
              </c:extLst>
            </c:dLbl>
            <c:dLbl>
              <c:idx val="1"/>
              <c:delete val="1"/>
              <c:extLst>
                <c:ext xmlns:c15="http://schemas.microsoft.com/office/drawing/2012/chart" uri="{CE6537A1-D6FC-4f65-9D91-7224C49458BB}"/>
                <c:ext xmlns:c16="http://schemas.microsoft.com/office/drawing/2014/chart" uri="{C3380CC4-5D6E-409C-BE32-E72D297353CC}">
                  <c16:uniqueId val="{00000006-02C9-418F-BEED-0FA1B167DF74}"/>
                </c:ext>
              </c:extLst>
            </c:dLbl>
            <c:dLbl>
              <c:idx val="2"/>
              <c:delete val="1"/>
              <c:extLst>
                <c:ext xmlns:c15="http://schemas.microsoft.com/office/drawing/2012/chart" uri="{CE6537A1-D6FC-4f65-9D91-7224C49458BB}"/>
                <c:ext xmlns:c16="http://schemas.microsoft.com/office/drawing/2014/chart" uri="{C3380CC4-5D6E-409C-BE32-E72D297353CC}">
                  <c16:uniqueId val="{00000007-02C9-418F-BEED-0FA1B167DF74}"/>
                </c:ext>
              </c:extLst>
            </c:dLbl>
            <c:dLbl>
              <c:idx val="3"/>
              <c:layout>
                <c:manualLayout>
                  <c:x val="-2.2831052964567559E-2"/>
                  <c:y val="-4.66392217493014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2C9-418F-BEED-0FA1B167DF74}"/>
                </c:ext>
              </c:extLst>
            </c:dLbl>
            <c:dLbl>
              <c:idx val="4"/>
              <c:delete val="1"/>
              <c:extLst>
                <c:ext xmlns:c15="http://schemas.microsoft.com/office/drawing/2012/chart" uri="{CE6537A1-D6FC-4f65-9D91-7224C49458BB}"/>
                <c:ext xmlns:c16="http://schemas.microsoft.com/office/drawing/2014/chart" uri="{C3380CC4-5D6E-409C-BE32-E72D297353CC}">
                  <c16:uniqueId val="{00000009-02C9-418F-BEED-0FA1B167DF74}"/>
                </c:ext>
              </c:extLst>
            </c:dLbl>
            <c:dLbl>
              <c:idx val="5"/>
              <c:delete val="1"/>
              <c:extLst>
                <c:ext xmlns:c15="http://schemas.microsoft.com/office/drawing/2012/chart" uri="{CE6537A1-D6FC-4f65-9D91-7224C49458BB}"/>
                <c:ext xmlns:c16="http://schemas.microsoft.com/office/drawing/2014/chart" uri="{C3380CC4-5D6E-409C-BE32-E72D297353CC}">
                  <c16:uniqueId val="{0000000A-02C9-418F-BEED-0FA1B167DF74}"/>
                </c:ext>
              </c:extLst>
            </c:dLbl>
            <c:dLbl>
              <c:idx val="6"/>
              <c:delete val="1"/>
              <c:extLst>
                <c:ext xmlns:c15="http://schemas.microsoft.com/office/drawing/2012/chart" uri="{CE6537A1-D6FC-4f65-9D91-7224C49458BB}"/>
                <c:ext xmlns:c16="http://schemas.microsoft.com/office/drawing/2014/chart" uri="{C3380CC4-5D6E-409C-BE32-E72D297353CC}">
                  <c16:uniqueId val="{0000000B-02C9-418F-BEED-0FA1B167DF74}"/>
                </c:ext>
              </c:extLst>
            </c:dLbl>
            <c:dLbl>
              <c:idx val="7"/>
              <c:delete val="1"/>
              <c:extLst>
                <c:ext xmlns:c15="http://schemas.microsoft.com/office/drawing/2012/chart" uri="{CE6537A1-D6FC-4f65-9D91-7224C49458BB}"/>
                <c:ext xmlns:c16="http://schemas.microsoft.com/office/drawing/2014/chart" uri="{C3380CC4-5D6E-409C-BE32-E72D297353CC}">
                  <c16:uniqueId val="{0000000C-02C9-418F-BEED-0FA1B167DF74}"/>
                </c:ext>
              </c:extLst>
            </c:dLbl>
            <c:dLbl>
              <c:idx val="8"/>
              <c:delete val="1"/>
              <c:extLst>
                <c:ext xmlns:c15="http://schemas.microsoft.com/office/drawing/2012/chart" uri="{CE6537A1-D6FC-4f65-9D91-7224C49458BB}"/>
                <c:ext xmlns:c16="http://schemas.microsoft.com/office/drawing/2014/chart" uri="{C3380CC4-5D6E-409C-BE32-E72D297353CC}">
                  <c16:uniqueId val="{0000000D-02C9-418F-BEED-0FA1B167DF74}"/>
                </c:ext>
              </c:extLst>
            </c:dLbl>
            <c:dLbl>
              <c:idx val="9"/>
              <c:delete val="1"/>
              <c:extLst>
                <c:ext xmlns:c15="http://schemas.microsoft.com/office/drawing/2012/chart" uri="{CE6537A1-D6FC-4f65-9D91-7224C49458BB}"/>
                <c:ext xmlns:c16="http://schemas.microsoft.com/office/drawing/2014/chart" uri="{C3380CC4-5D6E-409C-BE32-E72D297353CC}">
                  <c16:uniqueId val="{0000000E-02C9-418F-BEED-0FA1B167DF74}"/>
                </c:ext>
              </c:extLst>
            </c:dLbl>
            <c:dLbl>
              <c:idx val="10"/>
              <c:delete val="1"/>
              <c:extLst>
                <c:ext xmlns:c15="http://schemas.microsoft.com/office/drawing/2012/chart" uri="{CE6537A1-D6FC-4f65-9D91-7224C49458BB}"/>
                <c:ext xmlns:c16="http://schemas.microsoft.com/office/drawing/2014/chart" uri="{C3380CC4-5D6E-409C-BE32-E72D297353CC}">
                  <c16:uniqueId val="{0000000F-02C9-418F-BEED-0FA1B167DF74}"/>
                </c:ext>
              </c:extLst>
            </c:dLbl>
            <c:dLbl>
              <c:idx val="11"/>
              <c:layout>
                <c:manualLayout>
                  <c:x val="-1.8039687312086591E-2"/>
                  <c:y val="-2.01443679704549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2C9-418F-BEED-0FA1B167DF74}"/>
                </c:ext>
              </c:extLst>
            </c:dLbl>
            <c:dLbl>
              <c:idx val="12"/>
              <c:delete val="1"/>
              <c:extLst>
                <c:ext xmlns:c15="http://schemas.microsoft.com/office/drawing/2012/chart" uri="{CE6537A1-D6FC-4f65-9D91-7224C49458BB}"/>
                <c:ext xmlns:c16="http://schemas.microsoft.com/office/drawing/2014/chart" uri="{C3380CC4-5D6E-409C-BE32-E72D297353CC}">
                  <c16:uniqueId val="{00000011-02C9-418F-BEED-0FA1B167DF74}"/>
                </c:ext>
              </c:extLst>
            </c:dLbl>
            <c:dLbl>
              <c:idx val="13"/>
              <c:delete val="1"/>
              <c:extLst>
                <c:ext xmlns:c15="http://schemas.microsoft.com/office/drawing/2012/chart" uri="{CE6537A1-D6FC-4f65-9D91-7224C49458BB}"/>
                <c:ext xmlns:c16="http://schemas.microsoft.com/office/drawing/2014/chart" uri="{C3380CC4-5D6E-409C-BE32-E72D297353CC}">
                  <c16:uniqueId val="{00000012-02C9-418F-BEED-0FA1B167DF74}"/>
                </c:ext>
              </c:extLst>
            </c:dLbl>
            <c:dLbl>
              <c:idx val="14"/>
              <c:delete val="1"/>
              <c:extLst>
                <c:ext xmlns:c15="http://schemas.microsoft.com/office/drawing/2012/chart" uri="{CE6537A1-D6FC-4f65-9D91-7224C49458BB}"/>
                <c:ext xmlns:c16="http://schemas.microsoft.com/office/drawing/2014/chart" uri="{C3380CC4-5D6E-409C-BE32-E72D297353CC}">
                  <c16:uniqueId val="{00000013-02C9-418F-BEED-0FA1B167DF74}"/>
                </c:ext>
              </c:extLst>
            </c:dLbl>
            <c:dLbl>
              <c:idx val="15"/>
              <c:layout>
                <c:manualLayout>
                  <c:x val="-3.1811484530378568E-2"/>
                  <c:y val="-1.1910668113453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2C9-418F-BEED-0FA1B167DF74}"/>
                </c:ext>
              </c:extLst>
            </c:dLbl>
            <c:dLbl>
              <c:idx val="16"/>
              <c:layout>
                <c:manualLayout>
                  <c:x val="-3.5780055211160788E-2"/>
                  <c:y val="-5.955334056726667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2C9-418F-BEED-0FA1B167DF74}"/>
                </c:ext>
              </c:extLst>
            </c:dLbl>
            <c:spPr>
              <a:noFill/>
              <a:ln>
                <a:noFill/>
              </a:ln>
              <a:effectLst/>
            </c:spPr>
            <c:txPr>
              <a:bodyPr wrap="square" lIns="38100" tIns="19050" rIns="38100" bIns="19050" anchor="ctr">
                <a:spAutoFit/>
              </a:bodyPr>
              <a:lstStyle/>
              <a:p>
                <a:pPr>
                  <a:defRPr sz="800"/>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Joonised!$N$724:$N$735</c:f>
              <c:strCache>
                <c:ptCount val="12"/>
                <c:pt idx="0">
                  <c:v> '12</c:v>
                </c:pt>
                <c:pt idx="1">
                  <c:v> '13</c:v>
                </c:pt>
                <c:pt idx="2">
                  <c:v> '14</c:v>
                </c:pt>
                <c:pt idx="3">
                  <c:v> '15</c:v>
                </c:pt>
                <c:pt idx="4">
                  <c:v> '16</c:v>
                </c:pt>
                <c:pt idx="5">
                  <c:v> '17</c:v>
                </c:pt>
                <c:pt idx="6">
                  <c:v> '18</c:v>
                </c:pt>
                <c:pt idx="7">
                  <c:v> '19</c:v>
                </c:pt>
                <c:pt idx="8">
                  <c:v> '20</c:v>
                </c:pt>
                <c:pt idx="9">
                  <c:v> '21</c:v>
                </c:pt>
                <c:pt idx="10">
                  <c:v> '22</c:v>
                </c:pt>
                <c:pt idx="11">
                  <c:v> '23*</c:v>
                </c:pt>
              </c:strCache>
            </c:strRef>
          </c:cat>
          <c:val>
            <c:numRef>
              <c:f>Joonised!$P$724:$P$735</c:f>
              <c:numCache>
                <c:formatCode>0.00%</c:formatCode>
                <c:ptCount val="12"/>
                <c:pt idx="0">
                  <c:v>6.4000000000000003E-3</c:v>
                </c:pt>
                <c:pt idx="1">
                  <c:v>3.0999999999999999E-3</c:v>
                </c:pt>
                <c:pt idx="2">
                  <c:v>3.7000000000000002E-3</c:v>
                </c:pt>
                <c:pt idx="3">
                  <c:v>1.695999122200309E-3</c:v>
                </c:pt>
                <c:pt idx="4">
                  <c:v>1.3298324470913947E-3</c:v>
                </c:pt>
                <c:pt idx="5">
                  <c:v>-1E-4</c:v>
                </c:pt>
                <c:pt idx="6">
                  <c:v>-8.0000000000000004E-4</c:v>
                </c:pt>
                <c:pt idx="7">
                  <c:v>5.9999999999999995E-4</c:v>
                </c:pt>
                <c:pt idx="8">
                  <c:v>-2.5000000000000001E-3</c:v>
                </c:pt>
                <c:pt idx="9">
                  <c:v>-2.8999999999999998E-3</c:v>
                </c:pt>
                <c:pt idx="10">
                  <c:v>-4.0000000000000001E-3</c:v>
                </c:pt>
                <c:pt idx="11">
                  <c:v>2.5399999999999999E-2</c:v>
                </c:pt>
              </c:numCache>
            </c:numRef>
          </c:val>
          <c:smooth val="0"/>
          <c:extLst>
            <c:ext xmlns:c16="http://schemas.microsoft.com/office/drawing/2014/chart" uri="{C3380CC4-5D6E-409C-BE32-E72D297353CC}">
              <c16:uniqueId val="{00000016-02C9-418F-BEED-0FA1B167DF74}"/>
            </c:ext>
          </c:extLst>
        </c:ser>
        <c:ser>
          <c:idx val="3"/>
          <c:order val="3"/>
          <c:tx>
            <c:strRef>
              <c:f>Joonised!$R$715</c:f>
              <c:strCache>
                <c:ptCount val="1"/>
                <c:pt idx="0">
                  <c:v>stabiliseerimisreservi tulusus (aasta baasil)</c:v>
                </c:pt>
              </c:strCache>
            </c:strRef>
          </c:tx>
          <c:spPr>
            <a:ln>
              <a:solidFill>
                <a:schemeClr val="accent5">
                  <a:lumMod val="50000"/>
                </a:schemeClr>
              </a:solidFill>
            </a:ln>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C21-4821-912C-AADCAB08C03D}"/>
                </c:ext>
              </c:extLst>
            </c:dLbl>
            <c:dLbl>
              <c:idx val="2"/>
              <c:layout>
                <c:manualLayout>
                  <c:x val="-2.8919333755118511E-2"/>
                  <c:y val="-1.92043854261830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2C9-418F-BEED-0FA1B167DF74}"/>
                </c:ext>
              </c:extLst>
            </c:dLbl>
            <c:dLbl>
              <c:idx val="1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C21-4821-912C-AADCAB08C03D}"/>
                </c:ext>
              </c:extLst>
            </c:dLbl>
            <c:dLbl>
              <c:idx val="15"/>
              <c:layout>
                <c:manualLayout>
                  <c:x val="-4.4138386004245439E-2"/>
                  <c:y val="2.60703659411343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2C9-418F-BEED-0FA1B167DF74}"/>
                </c:ext>
              </c:extLst>
            </c:dLbl>
            <c:dLbl>
              <c:idx val="16"/>
              <c:layout>
                <c:manualLayout>
                  <c:x val="-4.1147063492834902E-2"/>
                  <c:y val="1.48883351418166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2C9-418F-BEED-0FA1B167DF74}"/>
                </c:ext>
              </c:extLst>
            </c:dLbl>
            <c:spPr>
              <a:noFill/>
              <a:ln>
                <a:noFill/>
              </a:ln>
              <a:effectLst/>
            </c:spPr>
            <c:txPr>
              <a:bodyPr wrap="square" lIns="38100" tIns="19050" rIns="38100" bIns="19050" anchor="ctr">
                <a:spAutoFit/>
              </a:bodyPr>
              <a:lstStyle/>
              <a:p>
                <a:pPr>
                  <a:defRPr sz="800"/>
                </a:pPr>
                <a:endParaRPr lang="et-EE"/>
              </a:p>
            </c:txPr>
            <c:showLegendKey val="0"/>
            <c:showVal val="0"/>
            <c:showCatName val="0"/>
            <c:showSerName val="0"/>
            <c:showPercent val="0"/>
            <c:showBubbleSize val="0"/>
            <c:extLst>
              <c:ext xmlns:c15="http://schemas.microsoft.com/office/drawing/2012/chart" uri="{CE6537A1-D6FC-4f65-9D91-7224C49458BB}">
                <c15:showLeaderLines val="1"/>
                <c15:leaderLines>
                  <c:spPr>
                    <a:ln>
                      <a:noFill/>
                    </a:ln>
                  </c:spPr>
                </c15:leaderLines>
              </c:ext>
            </c:extLst>
          </c:dLbls>
          <c:cat>
            <c:strRef>
              <c:f>Joonised!$N$724:$N$735</c:f>
              <c:strCache>
                <c:ptCount val="12"/>
                <c:pt idx="0">
                  <c:v> '12</c:v>
                </c:pt>
                <c:pt idx="1">
                  <c:v> '13</c:v>
                </c:pt>
                <c:pt idx="2">
                  <c:v> '14</c:v>
                </c:pt>
                <c:pt idx="3">
                  <c:v> '15</c:v>
                </c:pt>
                <c:pt idx="4">
                  <c:v> '16</c:v>
                </c:pt>
                <c:pt idx="5">
                  <c:v> '17</c:v>
                </c:pt>
                <c:pt idx="6">
                  <c:v> '18</c:v>
                </c:pt>
                <c:pt idx="7">
                  <c:v> '19</c:v>
                </c:pt>
                <c:pt idx="8">
                  <c:v> '20</c:v>
                </c:pt>
                <c:pt idx="9">
                  <c:v> '21</c:v>
                </c:pt>
                <c:pt idx="10">
                  <c:v> '22</c:v>
                </c:pt>
                <c:pt idx="11">
                  <c:v> '23*</c:v>
                </c:pt>
              </c:strCache>
            </c:strRef>
          </c:cat>
          <c:val>
            <c:numRef>
              <c:f>Joonised!$R$724:$R$735</c:f>
              <c:numCache>
                <c:formatCode>0.00%</c:formatCode>
                <c:ptCount val="12"/>
                <c:pt idx="0">
                  <c:v>9.9000000000000008E-3</c:v>
                </c:pt>
                <c:pt idx="1">
                  <c:v>5.0000000000000001E-4</c:v>
                </c:pt>
                <c:pt idx="2">
                  <c:v>5.8999999999999999E-3</c:v>
                </c:pt>
                <c:pt idx="3">
                  <c:v>1.6374902655542645E-3</c:v>
                </c:pt>
                <c:pt idx="4">
                  <c:v>-1.758386146744062E-4</c:v>
                </c:pt>
                <c:pt idx="5">
                  <c:v>-3.8999999999999998E-3</c:v>
                </c:pt>
                <c:pt idx="6">
                  <c:v>-4.3E-3</c:v>
                </c:pt>
                <c:pt idx="7">
                  <c:v>-1.5E-3</c:v>
                </c:pt>
                <c:pt idx="8">
                  <c:v>-3.3E-3</c:v>
                </c:pt>
                <c:pt idx="9">
                  <c:v>-6.1000000000000004E-3</c:v>
                </c:pt>
                <c:pt idx="10">
                  <c:v>-1.66E-2</c:v>
                </c:pt>
                <c:pt idx="11">
                  <c:v>2.3400000000000001E-2</c:v>
                </c:pt>
              </c:numCache>
            </c:numRef>
          </c:val>
          <c:smooth val="0"/>
          <c:extLst>
            <c:ext xmlns:c16="http://schemas.microsoft.com/office/drawing/2014/chart" uri="{C3380CC4-5D6E-409C-BE32-E72D297353CC}">
              <c16:uniqueId val="{0000001A-02C9-418F-BEED-0FA1B167DF74}"/>
            </c:ext>
          </c:extLst>
        </c:ser>
        <c:dLbls>
          <c:showLegendKey val="0"/>
          <c:showVal val="0"/>
          <c:showCatName val="0"/>
          <c:showSerName val="0"/>
          <c:showPercent val="0"/>
          <c:showBubbleSize val="0"/>
        </c:dLbls>
        <c:marker val="1"/>
        <c:smooth val="0"/>
        <c:axId val="436216392"/>
        <c:axId val="436216000"/>
      </c:lineChart>
      <c:catAx>
        <c:axId val="436215216"/>
        <c:scaling>
          <c:orientation val="minMax"/>
        </c:scaling>
        <c:delete val="0"/>
        <c:axPos val="b"/>
        <c:numFmt formatCode="General" sourceLinked="1"/>
        <c:majorTickMark val="none"/>
        <c:minorTickMark val="none"/>
        <c:tickLblPos val="nextTo"/>
        <c:txPr>
          <a:bodyPr/>
          <a:lstStyle/>
          <a:p>
            <a:pPr>
              <a:defRPr sz="800"/>
            </a:pPr>
            <a:endParaRPr lang="et-EE"/>
          </a:p>
        </c:txPr>
        <c:crossAx val="436215608"/>
        <c:crosses val="autoZero"/>
        <c:auto val="1"/>
        <c:lblAlgn val="ctr"/>
        <c:lblOffset val="100"/>
        <c:noMultiLvlLbl val="0"/>
      </c:catAx>
      <c:valAx>
        <c:axId val="436215608"/>
        <c:scaling>
          <c:orientation val="minMax"/>
        </c:scaling>
        <c:delete val="0"/>
        <c:axPos val="l"/>
        <c:majorGridlines>
          <c:spPr>
            <a:ln w="2540">
              <a:solidFill>
                <a:sysClr val="windowText" lastClr="000000"/>
              </a:solidFill>
              <a:prstDash val="dash"/>
            </a:ln>
          </c:spPr>
        </c:majorGridlines>
        <c:title>
          <c:tx>
            <c:rich>
              <a:bodyPr/>
              <a:lstStyle/>
              <a:p>
                <a:pPr>
                  <a:defRPr sz="800"/>
                </a:pPr>
                <a:r>
                  <a:rPr lang="et-EE" sz="800"/>
                  <a:t>mln eur</a:t>
                </a:r>
              </a:p>
            </c:rich>
          </c:tx>
          <c:layout>
            <c:manualLayout>
              <c:xMode val="edge"/>
              <c:yMode val="edge"/>
              <c:x val="4.0596772556581923E-2"/>
              <c:y val="0.33786405734604402"/>
            </c:manualLayout>
          </c:layout>
          <c:overlay val="0"/>
        </c:title>
        <c:numFmt formatCode="#,##0" sourceLinked="0"/>
        <c:majorTickMark val="in"/>
        <c:minorTickMark val="none"/>
        <c:tickLblPos val="nextTo"/>
        <c:spPr>
          <a:ln w="2540">
            <a:solidFill>
              <a:sysClr val="windowText" lastClr="000000"/>
            </a:solidFill>
          </a:ln>
        </c:spPr>
        <c:txPr>
          <a:bodyPr/>
          <a:lstStyle/>
          <a:p>
            <a:pPr>
              <a:defRPr sz="800">
                <a:solidFill>
                  <a:sysClr val="windowText" lastClr="000000"/>
                </a:solidFill>
              </a:defRPr>
            </a:pPr>
            <a:endParaRPr lang="et-EE"/>
          </a:p>
        </c:txPr>
        <c:crossAx val="436215216"/>
        <c:crosses val="autoZero"/>
        <c:crossBetween val="between"/>
      </c:valAx>
      <c:valAx>
        <c:axId val="436216000"/>
        <c:scaling>
          <c:orientation val="minMax"/>
        </c:scaling>
        <c:delete val="0"/>
        <c:axPos val="r"/>
        <c:numFmt formatCode="0%" sourceLinked="0"/>
        <c:majorTickMark val="in"/>
        <c:minorTickMark val="none"/>
        <c:tickLblPos val="nextTo"/>
        <c:spPr>
          <a:ln w="2540">
            <a:solidFill>
              <a:sysClr val="windowText" lastClr="000000"/>
            </a:solidFill>
          </a:ln>
        </c:spPr>
        <c:txPr>
          <a:bodyPr/>
          <a:lstStyle/>
          <a:p>
            <a:pPr>
              <a:defRPr sz="800">
                <a:solidFill>
                  <a:sysClr val="windowText" lastClr="000000"/>
                </a:solidFill>
              </a:defRPr>
            </a:pPr>
            <a:endParaRPr lang="et-EE"/>
          </a:p>
        </c:txPr>
        <c:crossAx val="436216392"/>
        <c:crosses val="max"/>
        <c:crossBetween val="between"/>
        <c:majorUnit val="1.0000000000000005E-2"/>
      </c:valAx>
      <c:catAx>
        <c:axId val="436216392"/>
        <c:scaling>
          <c:orientation val="minMax"/>
        </c:scaling>
        <c:delete val="1"/>
        <c:axPos val="b"/>
        <c:numFmt formatCode="General" sourceLinked="1"/>
        <c:majorTickMark val="out"/>
        <c:minorTickMark val="none"/>
        <c:tickLblPos val="none"/>
        <c:crossAx val="436216000"/>
        <c:crosses val="autoZero"/>
        <c:auto val="1"/>
        <c:lblAlgn val="ctr"/>
        <c:lblOffset val="100"/>
        <c:noMultiLvlLbl val="0"/>
      </c:catAx>
      <c:spPr>
        <a:noFill/>
        <a:ln>
          <a:noFill/>
        </a:ln>
      </c:spPr>
    </c:plotArea>
    <c:legend>
      <c:legendPos val="b"/>
      <c:layout>
        <c:manualLayout>
          <c:xMode val="edge"/>
          <c:yMode val="edge"/>
          <c:x val="0.1196643874995942"/>
          <c:y val="0.75392203651520251"/>
          <c:w val="0.8037461102125838"/>
          <c:h val="0.12437894560559347"/>
        </c:manualLayout>
      </c:layout>
      <c:overlay val="0"/>
      <c:txPr>
        <a:bodyPr/>
        <a:lstStyle/>
        <a:p>
          <a:pPr>
            <a:defRPr sz="800"/>
          </a:pPr>
          <a:endParaRPr lang="et-EE"/>
        </a:p>
      </c:txPr>
    </c:legend>
    <c:plotVisOnly val="1"/>
    <c:dispBlanksAs val="gap"/>
    <c:showDLblsOverMax val="0"/>
  </c:chart>
  <c:spPr>
    <a:ln>
      <a:noFill/>
    </a:ln>
  </c:spPr>
  <c:txPr>
    <a:bodyPr/>
    <a:lstStyle/>
    <a:p>
      <a:pPr>
        <a:defRPr>
          <a:latin typeface="Segoe UI Light" panose="020B0502040204020203" pitchFamily="34" charset="0"/>
          <a:cs typeface="Segoe UI Light" panose="020B0502040204020203" pitchFamily="34" charset="0"/>
        </a:defRPr>
      </a:pPr>
      <a:endParaRPr lang="et-EE"/>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Ukraina">
      <a:dk1>
        <a:sysClr val="windowText" lastClr="000000"/>
      </a:dk1>
      <a:lt1>
        <a:sysClr val="window" lastClr="FFFFFF"/>
      </a:lt1>
      <a:dk2>
        <a:srgbClr val="44546A"/>
      </a:dk2>
      <a:lt2>
        <a:srgbClr val="E7E6E6"/>
      </a:lt2>
      <a:accent1>
        <a:srgbClr val="005BBB"/>
      </a:accent1>
      <a:accent2>
        <a:srgbClr val="FFD500"/>
      </a:accent2>
      <a:accent3>
        <a:srgbClr val="819595"/>
      </a:accent3>
      <a:accent4>
        <a:srgbClr val="C1292E"/>
      </a:accent4>
      <a:accent5>
        <a:srgbClr val="14281D"/>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Ukraina">
    <a:dk1>
      <a:sysClr val="windowText" lastClr="000000"/>
    </a:dk1>
    <a:lt1>
      <a:sysClr val="window" lastClr="FFFFFF"/>
    </a:lt1>
    <a:dk2>
      <a:srgbClr val="44546A"/>
    </a:dk2>
    <a:lt2>
      <a:srgbClr val="E7E6E6"/>
    </a:lt2>
    <a:accent1>
      <a:srgbClr val="005BBB"/>
    </a:accent1>
    <a:accent2>
      <a:srgbClr val="FFD500"/>
    </a:accent2>
    <a:accent3>
      <a:srgbClr val="819595"/>
    </a:accent3>
    <a:accent4>
      <a:srgbClr val="C1292E"/>
    </a:accent4>
    <a:accent5>
      <a:srgbClr val="14281D"/>
    </a:accent5>
    <a:accent6>
      <a:srgbClr val="70AD47"/>
    </a:accent6>
    <a:hlink>
      <a:srgbClr val="0563C1"/>
    </a:hlink>
    <a:folHlink>
      <a:srgbClr val="954F72"/>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7EB47DA08D64A4995E303BD701AF774" ma:contentTypeVersion="5" ma:contentTypeDescription="Loo uus dokument" ma:contentTypeScope="" ma:versionID="7d9f3e27adca8199813549c36b869c4a">
  <xsd:schema xmlns:xsd="http://www.w3.org/2001/XMLSchema" xmlns:xs="http://www.w3.org/2001/XMLSchema" xmlns:p="http://schemas.microsoft.com/office/2006/metadata/properties" xmlns:ns3="37d5ec07-f365-42ef-b0e2-d7b4d894c041" xmlns:ns4="e7929dce-46fc-46f7-8f30-5830476e84db" targetNamespace="http://schemas.microsoft.com/office/2006/metadata/properties" ma:root="true" ma:fieldsID="432b36296188a0495ba6ddf8e41662b7" ns3:_="" ns4:_="">
    <xsd:import namespace="37d5ec07-f365-42ef-b0e2-d7b4d894c041"/>
    <xsd:import namespace="e7929dce-46fc-46f7-8f30-5830476e84d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5ec07-f365-42ef-b0e2-d7b4d894c041" elementFormDefault="qualified">
    <xsd:import namespace="http://schemas.microsoft.com/office/2006/documentManagement/types"/>
    <xsd:import namespace="http://schemas.microsoft.com/office/infopath/2007/PartnerControls"/>
    <xsd:element name="SharedWithUsers" ma:index="8"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Ühiskasutusse andmise üksikasjad" ma:internalName="SharedWithDetails" ma:readOnly="true">
      <xsd:simpleType>
        <xsd:restriction base="dms:Note">
          <xsd:maxLength value="255"/>
        </xsd:restriction>
      </xsd:simpleType>
    </xsd:element>
    <xsd:element name="SharingHintHash" ma:index="10" nillable="true" ma:displayName="Vihjeräsi jagami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929dce-46fc-46f7-8f30-5830476e84d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713AB5-936D-4BB1-92BA-D6F2485E2094}">
  <ds:schemaRefs>
    <ds:schemaRef ds:uri="http://schemas.openxmlformats.org/officeDocument/2006/bibliography"/>
  </ds:schemaRefs>
</ds:datastoreItem>
</file>

<file path=customXml/itemProps2.xml><?xml version="1.0" encoding="utf-8"?>
<ds:datastoreItem xmlns:ds="http://schemas.openxmlformats.org/officeDocument/2006/customXml" ds:itemID="{868FF967-DDBC-43A3-A13E-A44E315E1400}">
  <ds:schemaRefs>
    <ds:schemaRef ds:uri="http://purl.org/dc/dcmitype/"/>
    <ds:schemaRef ds:uri="http://schemas.openxmlformats.org/package/2006/metadata/core-properties"/>
    <ds:schemaRef ds:uri="e7929dce-46fc-46f7-8f30-5830476e84db"/>
    <ds:schemaRef ds:uri="http://schemas.microsoft.com/office/2006/metadata/properties"/>
    <ds:schemaRef ds:uri="http://purl.org/dc/terms/"/>
    <ds:schemaRef ds:uri="http://schemas.microsoft.com/office/infopath/2007/PartnerControls"/>
    <ds:schemaRef ds:uri="http://schemas.microsoft.com/office/2006/documentManagement/types"/>
    <ds:schemaRef ds:uri="37d5ec07-f365-42ef-b0e2-d7b4d894c041"/>
    <ds:schemaRef ds:uri="http://www.w3.org/XML/1998/namespace"/>
    <ds:schemaRef ds:uri="http://purl.org/dc/elements/1.1/"/>
  </ds:schemaRefs>
</ds:datastoreItem>
</file>

<file path=customXml/itemProps3.xml><?xml version="1.0" encoding="utf-8"?>
<ds:datastoreItem xmlns:ds="http://schemas.openxmlformats.org/officeDocument/2006/customXml" ds:itemID="{B2B2812F-74B0-434C-9E0D-47C41575E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5ec07-f365-42ef-b0e2-d7b4d894c041"/>
    <ds:schemaRef ds:uri="e7929dce-46fc-46f7-8f30-5830476e8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D13853-0D3B-4943-BD03-FE7024B697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53</Pages>
  <Words>20226</Words>
  <Characters>117317</Characters>
  <Application>Microsoft Office Word</Application>
  <DocSecurity>0</DocSecurity>
  <Lines>977</Lines>
  <Paragraphs>274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Justiitsministeerium</Company>
  <LinksUpToDate>false</LinksUpToDate>
  <CharactersWithSpaces>137269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Risto Kaarna</dc:creator>
  <cp:keywords/>
  <dc:description/>
  <cp:lastModifiedBy>Erki Lõhmuste</cp:lastModifiedBy>
  <cp:revision>9</cp:revision>
  <cp:lastPrinted>2023-04-06T06:56:00Z</cp:lastPrinted>
  <dcterms:created xsi:type="dcterms:W3CDTF">2023-08-24T09:54:00Z</dcterms:created>
  <dcterms:modified xsi:type="dcterms:W3CDTF">2023-08-24T10:22:00Z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0x01010037EB47DA08D64A4995E303BD701AF774</vt:lpwstr>
  </property>
</Properties>
</file>